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5BB90" w14:textId="77777777" w:rsidR="00DB3AB4" w:rsidRDefault="00DB3AB4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0D49C031" wp14:editId="615EC668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37539cd1-4bf5-466e-a948-de8dbbbc8f3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37539cd1-4bf5-466e-a948-de8dbbbc8f3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96F82" w14:textId="77777777" w:rsidR="00DB3AB4" w:rsidRDefault="00DB3AB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1587B328" w14:textId="77777777" w:rsidR="00DB3AB4" w:rsidRDefault="00DB3AB4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1F0D2B6" w14:textId="77777777" w:rsidR="00DB3AB4" w:rsidRDefault="00DB3AB4">
      <w:pPr>
        <w:spacing w:after="240"/>
      </w:pPr>
      <w:r>
        <w:rPr>
          <w:rFonts w:ascii="Arial" w:hAnsi="Arial" w:cs="Arial"/>
        </w:rPr>
        <w:t>от 14 октября 2015 года № 62/2</w:t>
      </w:r>
    </w:p>
    <w:p w14:paraId="5ED0470A" w14:textId="77777777" w:rsidR="00DB3AB4" w:rsidRDefault="00DB3AB4">
      <w:pPr>
        <w:spacing w:after="120"/>
        <w:ind w:firstLine="397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28 июня 2006 года № 19/4</w:t>
      </w:r>
    </w:p>
    <w:p w14:paraId="774229F0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5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 и </w:t>
      </w:r>
      <w:hyperlink r:id="rId6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</w:t>
      </w:r>
      <w:hyperlink r:id="rId7" w:history="1">
        <w:r>
          <w:rPr>
            <w:rStyle w:val="a3"/>
            <w:rFonts w:ascii="Arial" w:hAnsi="Arial" w:cs="Arial"/>
            <w:color w:val="000000"/>
            <w:u w:val="none"/>
          </w:rPr>
          <w:t>Закона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"О Национальном банке Кыргызской Республики" Правление Национального банка Кыргызской Республики </w:t>
      </w:r>
    </w:p>
    <w:p w14:paraId="404FDE30" w14:textId="77777777" w:rsidR="00DB3AB4" w:rsidRDefault="00DB3AB4">
      <w:pPr>
        <w:spacing w:after="120"/>
        <w:ind w:firstLine="397"/>
        <w:jc w:val="center"/>
      </w:pPr>
      <w:r>
        <w:rPr>
          <w:rFonts w:ascii="Arial" w:hAnsi="Arial" w:cs="Arial"/>
        </w:rPr>
        <w:t>ПОСТАНОВЛЯЕТ:</w:t>
      </w:r>
    </w:p>
    <w:p w14:paraId="530BB6F8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Внести в </w:t>
      </w:r>
      <w:hyperlink r:id="rId8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</w:t>
      </w:r>
      <w:hyperlink r:id="rId9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(</w:t>
      </w:r>
      <w:hyperlink r:id="rId10" w:anchor="p1" w:history="1">
        <w:r>
          <w:rPr>
            <w:rStyle w:val="a3"/>
            <w:rFonts w:ascii="Arial" w:hAnsi="Arial" w:cs="Arial"/>
          </w:rPr>
          <w:t>прилагаются</w:t>
        </w:r>
      </w:hyperlink>
      <w:r>
        <w:rPr>
          <w:rFonts w:ascii="Arial" w:hAnsi="Arial" w:cs="Arial"/>
        </w:rPr>
        <w:t>).</w:t>
      </w:r>
    </w:p>
    <w:p w14:paraId="037738A4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0FC49850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0413F967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D538AB6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58FD14A0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4. Управлению методологии надзора и лицензирования довести настоящее постановление до сведения микрокредитных компаний, микрокредитных агентств,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 w14:paraId="000D13EC" w14:textId="77777777" w:rsidR="00DB3AB4" w:rsidRDefault="00DB3AB4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 w14:paraId="10C1F764" w14:textId="77777777" w:rsidR="00DB3AB4" w:rsidRDefault="00DB3AB4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E27B2E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C62B6" w14:textId="77777777" w:rsidR="00DB3AB4" w:rsidRDefault="00DB3AB4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CE22" w14:textId="77777777" w:rsidR="00DB3AB4" w:rsidRDefault="00DB3AB4">
            <w:pPr>
              <w:jc w:val="right"/>
            </w:pPr>
            <w:r>
              <w:t> </w:t>
            </w:r>
          </w:p>
        </w:tc>
      </w:tr>
      <w:tr w:rsidR="00000000" w14:paraId="751472F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77634" w14:textId="77777777" w:rsidR="00DB3AB4" w:rsidRDefault="00DB3AB4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0" w:type="auto"/>
            <w:vAlign w:val="center"/>
            <w:hideMark/>
          </w:tcPr>
          <w:p w14:paraId="6D4E6F65" w14:textId="77777777" w:rsidR="00DB3AB4" w:rsidRDefault="00DB3AB4"/>
        </w:tc>
      </w:tr>
    </w:tbl>
    <w:p w14:paraId="2C8B88E9" w14:textId="77777777" w:rsidR="00DB3AB4" w:rsidRDefault="00DB3AB4">
      <w:r>
        <w:t> </w:t>
      </w:r>
    </w:p>
    <w:p w14:paraId="00100D05" w14:textId="77777777" w:rsidR="00DB3AB4" w:rsidRDefault="00DB3AB4">
      <w:pPr>
        <w:spacing w:before="400" w:after="400" w:line="276" w:lineRule="auto"/>
        <w:ind w:left="1134" w:right="1134"/>
        <w:jc w:val="center"/>
      </w:pPr>
      <w:bookmarkStart w:id="0" w:name="p1"/>
      <w:bookmarkEnd w:id="0"/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 xml:space="preserve">в постановление Правления Национального банка Кыргызской Республики "О некоторых </w:t>
      </w:r>
      <w:r>
        <w:rPr>
          <w:rFonts w:ascii="Arial" w:hAnsi="Arial" w:cs="Arial"/>
          <w:b/>
          <w:bCs/>
        </w:rPr>
        <w:t>нормативных актах Национального банка Кыргызской Республики" от 28 июня 2006 года № 19/4</w:t>
      </w:r>
    </w:p>
    <w:p w14:paraId="02D0190A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следующие изменения и дополнения:</w:t>
      </w:r>
    </w:p>
    <w:p w14:paraId="045D4C29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минимальных требованиях к проведению внешнего аудита микрофинансовых организаций в Кыргызской Республике", утвержденное вышеуказанным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0A3F7285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слово "НБКР" заменить словами "Национальный банк" в различных падежных формах;</w:t>
      </w:r>
    </w:p>
    <w:p w14:paraId="3F190D62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преамбулу </w:t>
      </w:r>
      <w:hyperlink r:id="rId1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изложить в следующей редакции:</w:t>
      </w:r>
    </w:p>
    <w:p w14:paraId="3F2351AC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"Настоящее </w:t>
      </w:r>
      <w:hyperlink r:id="rId15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минимальных требованиях к проведению внешнего аудита микрофинансовых организаций </w:t>
      </w:r>
      <w:r>
        <w:rPr>
          <w:rFonts w:ascii="Arial" w:hAnsi="Arial" w:cs="Arial"/>
        </w:rPr>
        <w:t>в Кыргызской Республике" (далее - Положение) разработано в соответствии с Законами Кыргызской Республики "</w:t>
      </w:r>
      <w:hyperlink r:id="rId16" w:history="1">
        <w:r>
          <w:rPr>
            <w:rStyle w:val="a3"/>
            <w:rFonts w:ascii="Arial" w:hAnsi="Arial" w:cs="Arial"/>
          </w:rPr>
          <w:t>О микрофинансовых организациях в Кыргызской Республике</w:t>
        </w:r>
      </w:hyperlink>
      <w:r>
        <w:rPr>
          <w:rFonts w:ascii="Arial" w:hAnsi="Arial" w:cs="Arial"/>
        </w:rPr>
        <w:t>", "</w:t>
      </w:r>
      <w:hyperlink r:id="rId17" w:history="1">
        <w:r>
          <w:rPr>
            <w:rStyle w:val="a3"/>
            <w:rFonts w:ascii="Arial" w:hAnsi="Arial" w:cs="Arial"/>
          </w:rPr>
          <w:t>Об аудиторской деятельности</w:t>
        </w:r>
      </w:hyperlink>
      <w:r>
        <w:rPr>
          <w:rFonts w:ascii="Arial" w:hAnsi="Arial" w:cs="Arial"/>
        </w:rPr>
        <w:t>" и "</w:t>
      </w:r>
      <w:hyperlink r:id="rId18" w:history="1">
        <w:r>
          <w:rPr>
            <w:rStyle w:val="a3"/>
            <w:rFonts w:ascii="Arial" w:hAnsi="Arial" w:cs="Arial"/>
          </w:rPr>
          <w:t>О бухгалтерском учете</w:t>
        </w:r>
      </w:hyperlink>
      <w:r>
        <w:rPr>
          <w:rFonts w:ascii="Arial" w:hAnsi="Arial" w:cs="Arial"/>
        </w:rPr>
        <w:t>" и устанавливает минимальные требования к проведению внешнего аудиту годовой финансовой отчетности микрофинансовых организаций, в том числе осуществляющих операции по исламским принципам банковского дела и финансирования с учетом специфики используемой терминологии, и имеющих свидетельство Национального банка для осуществления деятельности в качестве микрофинансовой организации.";</w:t>
      </w:r>
    </w:p>
    <w:p w14:paraId="4900F86B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hyperlink r:id="rId19" w:anchor="r2" w:history="1">
        <w:r>
          <w:rPr>
            <w:rStyle w:val="a3"/>
            <w:rFonts w:ascii="Arial" w:hAnsi="Arial" w:cs="Arial"/>
            <w:color w:val="000000"/>
            <w:u w:val="none"/>
          </w:rPr>
          <w:t>главу 2</w:t>
        </w:r>
      </w:hyperlink>
      <w:r>
        <w:rPr>
          <w:rFonts w:ascii="Arial" w:hAnsi="Arial" w:cs="Arial"/>
          <w:color w:val="000000"/>
        </w:rPr>
        <w:t xml:space="preserve"> и сноску </w:t>
      </w:r>
      <w:r>
        <w:rPr>
          <w:rFonts w:ascii="Arial" w:hAnsi="Arial" w:cs="Arial"/>
        </w:rPr>
        <w:t>1 к пункту 2.1. признать утратившими силу;</w:t>
      </w:r>
    </w:p>
    <w:p w14:paraId="4546FEE8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3.1. изложить в следующей редакции:</w:t>
      </w:r>
    </w:p>
    <w:p w14:paraId="4FADE28C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"3.1. Микрокредитные компании и микрокредитные агентства (далее - МКК/МКА) проводят внешний аудит своей деятельности в соответствии с </w:t>
      </w:r>
      <w:hyperlink r:id="rId20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 в Кыргызской Республике".</w:t>
      </w:r>
    </w:p>
    <w:p w14:paraId="5CD8EDA6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МКА могут проводить внешний аудит своей деятельности.</w:t>
      </w:r>
    </w:p>
    <w:p w14:paraId="0921DC83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МКК должны проводить внешний аудит своей деятельности на ежегодной основе при наличии одного из следующих критериев:</w:t>
      </w:r>
    </w:p>
    <w:p w14:paraId="731553F2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заемных средств от кредиторов, в том числе от финансово-кредитных учреждений;</w:t>
      </w:r>
    </w:p>
    <w:p w14:paraId="14425A43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среднегодовое значение кредитного портфеля составляет 20 (двадцать) млн. сомов и выше;</w:t>
      </w:r>
    </w:p>
    <w:p w14:paraId="508D6CD1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количество заемщиков составляет 5000 (пять тысяч) и выше.</w:t>
      </w:r>
    </w:p>
    <w:p w14:paraId="5C947BC5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МКК, у которых отсутствуют данные критерии, проводят внешний аудит своей деятельности 1 раз в два года.</w:t>
      </w:r>
    </w:p>
    <w:p w14:paraId="475D1958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проведении внешнего аудита МКК/МКА должны руководствоваться требованиями к аудиторской деятельности, установленными законодательством Кыргызской Республики, международными стандартами аудита и настоящим Положением.</w:t>
      </w:r>
    </w:p>
    <w:p w14:paraId="59A22A92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проведении внешнего аудита МКК/МКА, осуществляющими операции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институтов.";</w:t>
      </w:r>
    </w:p>
    <w:p w14:paraId="3D480891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3.2. изложить в следующей редакции:</w:t>
      </w:r>
    </w:p>
    <w:p w14:paraId="0F7D813D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"3.2. МКК, преобразующиеся в микрофинансовые компании, должны провести независимый внешней аудит в соответствии с </w:t>
      </w:r>
      <w:hyperlink r:id="rId21" w:history="1">
        <w:r>
          <w:rPr>
            <w:rStyle w:val="a3"/>
            <w:rFonts w:ascii="Arial" w:hAnsi="Arial" w:cs="Arial"/>
            <w:color w:val="000000"/>
            <w:u w:val="none"/>
          </w:rPr>
          <w:t>Положением</w:t>
        </w:r>
      </w:hyperlink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утвержденным </w:t>
      </w:r>
      <w:hyperlink r:id="rId2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от 14 июля 2005 года № 22/2.";</w:t>
      </w:r>
    </w:p>
    <w:p w14:paraId="5CD3BD7A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3.4. изложить в следующей редакции:</w:t>
      </w:r>
    </w:p>
    <w:p w14:paraId="4218D3A0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"3.4. Требования к внешнему аудитору:</w:t>
      </w:r>
    </w:p>
    <w:p w14:paraId="4D7B86F4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иметь соответствующую лицензию/сертификат аудитора на право осуществления аудиторской деятельности на территории Кыргызской Республики;</w:t>
      </w:r>
    </w:p>
    <w:p w14:paraId="16F512B7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быть </w:t>
      </w:r>
      <w:r>
        <w:rPr>
          <w:rFonts w:ascii="Arial" w:hAnsi="Arial" w:cs="Arial"/>
        </w:rPr>
        <w:t>независимым, объективным, избегать ситуаций, которые дают обоснование считать, что существует конфликт интересов.</w:t>
      </w:r>
    </w:p>
    <w:p w14:paraId="52DBA250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случае, если внешний аудит проводит индивидуальный аудитор, то дополнительно к вышеуказанным требованиям необходимо иметь трехлетний опыт аудита в финансово-кредитных учреждениях в соответствии с международными стандартами аудита и международными стандартами финансовой отчетности.</w:t>
      </w:r>
    </w:p>
    <w:p w14:paraId="4EEEBADE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Штатные или привлеченные аудиторы аудиторской организации, выбранной для аудита МКК/МКА, должны соответствовать следующим требованиям:</w:t>
      </w:r>
    </w:p>
    <w:p w14:paraId="3783AE64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соответствие квалификационным требованиям, установленным уполномоченным органом в соответствии с законодательством Кыргызской Республики;</w:t>
      </w:r>
    </w:p>
    <w:p w14:paraId="51C600B4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наличие трехлетнего опыта аудита в финансово-кредитных учреждениях в соответствии с международными стандартами аудита и международными стандартами финансовой отчетности.";</w:t>
      </w:r>
    </w:p>
    <w:p w14:paraId="3415D315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3.8. дополнить абзацами следующего содержания:</w:t>
      </w:r>
    </w:p>
    <w:p w14:paraId="444F905D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соблюдение требований законодательства Кыргызской Республики, в том числе нормативных правовых актов Национального банка;</w:t>
      </w:r>
    </w:p>
    <w:p w14:paraId="3B62216B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оценка качества управления рисками.";</w:t>
      </w:r>
    </w:p>
    <w:p w14:paraId="3EA8D359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3.9. изложить в следующей редакции:</w:t>
      </w:r>
    </w:p>
    <w:p w14:paraId="6DC0D020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"3.9. По окончании проведения внешнего аудита внешний аудитор предоставляет МКК/МКА аудиторское заключение, оформленное в соответствии с требованиями, установленными законодательством Кыргызской Республики и международными стандартами аудита, письмо к руководству МКК/МКА, а также любые отчеты, оговоренные в договоре по проведению внешнего аудита.</w:t>
      </w:r>
    </w:p>
    <w:p w14:paraId="18FD50D1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Национальный банк вправе не принять заключение внешнего аудитора МКК/МКА и требовать проведения повторного аудита МКК/МКА в случае, если обнаружатся обстоятельства, которые включают:</w:t>
      </w:r>
    </w:p>
    <w:p w14:paraId="491218B3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выявление фактов сокрытия информации, являющейся в соответствии со </w:t>
      </w:r>
      <w:hyperlink r:id="rId23" w:anchor="st_11" w:history="1">
        <w:r>
          <w:rPr>
            <w:rStyle w:val="a3"/>
            <w:rFonts w:ascii="Arial" w:hAnsi="Arial" w:cs="Arial"/>
            <w:color w:val="000000"/>
            <w:u w:val="none"/>
          </w:rPr>
          <w:t>статьей 11</w:t>
        </w:r>
      </w:hyperlink>
      <w:r>
        <w:rPr>
          <w:rFonts w:ascii="Arial" w:hAnsi="Arial" w:cs="Arial"/>
        </w:rPr>
        <w:t xml:space="preserve"> Закона Кыргызской Республики "Об аудиторской деятельности в Кыргызской Республике" основанием для выводов об ограничениях при проведении аудита;</w:t>
      </w:r>
    </w:p>
    <w:p w14:paraId="564A5C66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отзыв квалификационного сертификата/лицензии аудитора уполномоченным органом;</w:t>
      </w:r>
    </w:p>
    <w:p w14:paraId="7DC798EE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выявление в деятельности внешнего аудитора фактов несоответствия законодательству Кыргызской Республики и пункту 3.4 настоящего Положения.</w:t>
      </w:r>
    </w:p>
    <w:p w14:paraId="6D42E788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обнаружении вышеуказанных обстоятельств Национальный банк направит соответствующее требование о проведении повторного аудита с установлением сроков и с приведением обоснованных причин в адрес МКК/МКА. МКК/МКА обязана провести повторный внешний аудит в соответствии с требованиями законодательства Кыргызской Республики и настоящего Положения. Повторный аудит осуществляется за счет средств МКК/МКА.";</w:t>
      </w:r>
    </w:p>
    <w:p w14:paraId="3AB93D06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3.11. изложить в следующей редакции:</w:t>
      </w:r>
    </w:p>
    <w:p w14:paraId="6F66E951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"3.11. В течение 30 дней с момента получения заключения внешнего аудитора, но не позднее 30 апреля следующего за отчетным годом (периодом), МКК/МКА должны предоставить в Национальный банк (в Чуйской области и г.Бишкек - в Управление внешнего надзора, в других областях - в областные управления и представительство Национального банка) копию аудиторского заключения, заверенную внешним аудитором в установленном порядке с приложением финансовой отчетности МКК/МКА, включая письмо руководству МКК/МКА.";</w:t>
      </w:r>
    </w:p>
    <w:p w14:paraId="5A11B5F8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3.12. следующего содержания:</w:t>
      </w:r>
    </w:p>
    <w:p w14:paraId="747EDA82" w14:textId="77777777" w:rsidR="00DB3AB4" w:rsidRDefault="00DB3AB4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"3.12. МКК/МКА могут опубликовать годовую финансовую отчетность в средствах массовой информации республиканского и местного значения после ее подтверждения внешним аудитором, если иное не установлено законодательством Кыргызской Республики.".</w:t>
      </w:r>
    </w:p>
    <w:p w14:paraId="4191B140" w14:textId="77777777" w:rsidR="00DB3AB4" w:rsidRDefault="00DB3AB4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B4"/>
    <w:rsid w:val="00DB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B4ECE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496" TargetMode="External"/><Relationship Id="rId13" Type="http://schemas.openxmlformats.org/officeDocument/2006/relationships/hyperlink" Target="https://cbd.minjust.gov.kg/300497" TargetMode="External"/><Relationship Id="rId18" Type="http://schemas.openxmlformats.org/officeDocument/2006/relationships/hyperlink" Target="https://cbd.minjust.gov.kg/103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oktom://db/58801" TargetMode="Externa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497" TargetMode="External"/><Relationship Id="rId17" Type="http://schemas.openxmlformats.org/officeDocument/2006/relationships/hyperlink" Target="https://cbd.minjust.gov.kg/109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1081" TargetMode="External"/><Relationship Id="rId20" Type="http://schemas.openxmlformats.org/officeDocument/2006/relationships/hyperlink" Target="https://cbd.minjust.gov.kg/108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0496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0497" TargetMode="External"/><Relationship Id="rId23" Type="http://schemas.openxmlformats.org/officeDocument/2006/relationships/hyperlink" Target="toktom://db/30921" TargetMode="External"/><Relationship Id="rId10" Type="http://schemas.openxmlformats.org/officeDocument/2006/relationships/hyperlink" Target="https://cbd.minjust.gov.kg/800713" TargetMode="External"/><Relationship Id="rId19" Type="http://schemas.openxmlformats.org/officeDocument/2006/relationships/hyperlink" Target="toktom://db/6795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497" TargetMode="External"/><Relationship Id="rId14" Type="http://schemas.openxmlformats.org/officeDocument/2006/relationships/hyperlink" Target="https://cbd.minjust.gov.kg/300497" TargetMode="External"/><Relationship Id="rId22" Type="http://schemas.openxmlformats.org/officeDocument/2006/relationships/hyperlink" Target="https://cbd.minjust.gov.kg/31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1379</Words>
  <Characters>7863</Characters>
  <Application>Microsoft Office Word</Application>
  <DocSecurity>0</DocSecurity>
  <Lines>65</Lines>
  <Paragraphs>18</Paragraphs>
  <ScaleCrop>false</ScaleCrop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