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CC467" w14:textId="77777777" w:rsidR="00547B8F" w:rsidRDefault="00547B8F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DD5E344" wp14:editId="117C95B3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ee6f9156-fedb-49b6-a00f-c99a190953e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ee6f9156-fedb-49b6-a00f-c99a190953e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78B0B" w14:textId="77777777" w:rsidR="00547B8F" w:rsidRDefault="00547B8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0FBE06EE" w14:textId="77777777" w:rsidR="00547B8F" w:rsidRDefault="00547B8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081C9B73" w14:textId="77777777" w:rsidR="00547B8F" w:rsidRDefault="00547B8F">
      <w:pPr>
        <w:spacing w:after="240"/>
      </w:pPr>
      <w:r>
        <w:rPr>
          <w:rFonts w:ascii="Arial" w:hAnsi="Arial" w:cs="Arial"/>
        </w:rPr>
        <w:t>от 14 октября 2015 года № 62/3</w:t>
      </w:r>
    </w:p>
    <w:p w14:paraId="4C844D17" w14:textId="77777777" w:rsidR="00547B8F" w:rsidRDefault="00547B8F">
      <w:pPr>
        <w:pStyle w:val="tkNazvanie"/>
      </w:pPr>
      <w:r>
        <w:rPr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 w14:paraId="0A8E3BAF" w14:textId="77777777" w:rsidR="00547B8F" w:rsidRDefault="00547B8F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7" w:history="1">
        <w:r>
          <w:rPr>
            <w:rStyle w:val="a3"/>
            <w:sz w:val="24"/>
            <w:szCs w:val="24"/>
          </w:rPr>
          <w:t>7</w:t>
        </w:r>
      </w:hyperlink>
      <w:r>
        <w:rPr>
          <w:color w:val="000000"/>
          <w:sz w:val="24"/>
          <w:szCs w:val="24"/>
        </w:rPr>
        <w:t xml:space="preserve"> и </w:t>
      </w:r>
      <w:hyperlink r:id="rId6" w:anchor="st_43" w:history="1">
        <w:r>
          <w:rPr>
            <w:rStyle w:val="a3"/>
            <w:sz w:val="24"/>
            <w:szCs w:val="24"/>
          </w:rPr>
          <w:t>43</w:t>
        </w:r>
      </w:hyperlink>
      <w:r>
        <w:rPr>
          <w:color w:val="000000"/>
          <w:sz w:val="24"/>
          <w:szCs w:val="24"/>
        </w:rPr>
        <w:t xml:space="preserve"> </w:t>
      </w:r>
      <w:hyperlink r:id="rId7" w:history="1">
        <w:r>
          <w:rPr>
            <w:rStyle w:val="a3"/>
            <w:color w:val="000000"/>
            <w:sz w:val="24"/>
            <w:szCs w:val="24"/>
            <w:u w:val="none"/>
          </w:rPr>
          <w:t>Закона</w:t>
        </w:r>
      </w:hyperlink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Кыргызской Республики "О Национальном банке Кыргызской Республики" Правление Национального банка Кыргызской Республики</w:t>
      </w:r>
    </w:p>
    <w:p w14:paraId="0D945144" w14:textId="77777777" w:rsidR="00547B8F" w:rsidRDefault="00547B8F">
      <w:pPr>
        <w:pStyle w:val="tkTekst"/>
        <w:jc w:val="center"/>
      </w:pPr>
      <w:r>
        <w:rPr>
          <w:sz w:val="24"/>
          <w:szCs w:val="24"/>
        </w:rPr>
        <w:t>ПОСТАНОВЛЯЕТ:</w:t>
      </w:r>
    </w:p>
    <w:p w14:paraId="0DFE4305" w14:textId="77777777" w:rsidR="00547B8F" w:rsidRDefault="00547B8F">
      <w:pPr>
        <w:pStyle w:val="tkTekst"/>
      </w:pPr>
      <w:r>
        <w:rPr>
          <w:sz w:val="24"/>
          <w:szCs w:val="24"/>
        </w:rPr>
        <w:t xml:space="preserve">1. Внести в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</w:t>
      </w:r>
      <w:hyperlink r:id="rId9" w:anchor="p1" w:history="1">
        <w:r>
          <w:rPr>
            <w:rStyle w:val="a3"/>
            <w:sz w:val="24"/>
            <w:szCs w:val="24"/>
          </w:rPr>
          <w:t>изменения и дополнения</w:t>
        </w:r>
      </w:hyperlink>
      <w:r>
        <w:rPr>
          <w:sz w:val="24"/>
          <w:szCs w:val="24"/>
        </w:rPr>
        <w:t xml:space="preserve"> (прилагаются).</w:t>
      </w:r>
    </w:p>
    <w:p w14:paraId="6E5DDBD3" w14:textId="77777777" w:rsidR="00547B8F" w:rsidRDefault="00547B8F">
      <w:pPr>
        <w:pStyle w:val="tkTekst"/>
      </w:pPr>
      <w:r>
        <w:rPr>
          <w:sz w:val="24"/>
          <w:szCs w:val="24"/>
        </w:rPr>
        <w:t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 w14:paraId="21C712A8" w14:textId="77777777" w:rsidR="00547B8F" w:rsidRDefault="00547B8F">
      <w:pPr>
        <w:pStyle w:val="tkTekst"/>
      </w:pPr>
      <w:r>
        <w:rPr>
          <w:sz w:val="24"/>
          <w:szCs w:val="24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6D238B2C" w14:textId="77777777" w:rsidR="00547B8F" w:rsidRDefault="00547B8F">
      <w:pPr>
        <w:pStyle w:val="tkTekst"/>
      </w:pPr>
      <w:r>
        <w:rPr>
          <w:sz w:val="24"/>
          <w:szCs w:val="24"/>
        </w:rPr>
        <w:t>4. Юридическому управлению:</w:t>
      </w:r>
    </w:p>
    <w:p w14:paraId="079F1684" w14:textId="77777777" w:rsidR="00547B8F" w:rsidRDefault="00547B8F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14:paraId="7D2F7F6B" w14:textId="77777777" w:rsidR="00547B8F" w:rsidRDefault="00547B8F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238384A" w14:textId="77777777" w:rsidR="00547B8F" w:rsidRDefault="00547B8F">
      <w:pPr>
        <w:pStyle w:val="tkTekst"/>
      </w:pPr>
      <w:r>
        <w:rPr>
          <w:sz w:val="24"/>
          <w:szCs w:val="24"/>
        </w:rPr>
        <w:t>5. Управлению методологии надзора и лицензирования довести настоящее постановление до сведения коммерческих банков.</w:t>
      </w:r>
    </w:p>
    <w:p w14:paraId="61D431A4" w14:textId="77777777" w:rsidR="00547B8F" w:rsidRDefault="00547B8F">
      <w:pPr>
        <w:pStyle w:val="tkTekst"/>
      </w:pPr>
      <w:r>
        <w:rPr>
          <w:sz w:val="24"/>
          <w:szCs w:val="24"/>
        </w:rPr>
        <w:t>6. Контроль за исполнением настоящего постановления возложить на заместителя Председателя Национального банка Л.Дж.Орозбаеву.</w:t>
      </w:r>
    </w:p>
    <w:tbl>
      <w:tblPr>
        <w:tblW w:w="50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6"/>
        <w:gridCol w:w="803"/>
        <w:gridCol w:w="1615"/>
        <w:gridCol w:w="793"/>
      </w:tblGrid>
      <w:tr w:rsidR="00000000" w14:paraId="3CCDB0C3" w14:textId="77777777">
        <w:trPr>
          <w:trHeight w:val="315"/>
          <w:jc w:val="center"/>
        </w:trPr>
        <w:tc>
          <w:tcPr>
            <w:tcW w:w="457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5AB7" w14:textId="77777777" w:rsidR="00547B8F" w:rsidRDefault="00547B8F">
            <w:r>
              <w:t> 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1D4CF" w14:textId="77777777" w:rsidR="00547B8F" w:rsidRDefault="00547B8F">
            <w:pPr>
              <w:jc w:val="right"/>
            </w:pPr>
            <w:r>
              <w:t> </w:t>
            </w:r>
          </w:p>
        </w:tc>
      </w:tr>
      <w:tr w:rsidR="00000000" w14:paraId="116F2F45" w14:textId="77777777">
        <w:trPr>
          <w:trHeight w:val="629"/>
          <w:jc w:val="center"/>
        </w:trPr>
        <w:tc>
          <w:tcPr>
            <w:tcW w:w="371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2FF15" w14:textId="77777777" w:rsidR="00547B8F" w:rsidRDefault="00547B8F">
            <w:pPr>
              <w:spacing w:after="240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12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0A518" w14:textId="77777777" w:rsidR="00547B8F" w:rsidRDefault="00547B8F">
            <w:pPr>
              <w:spacing w:after="240"/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  <w:p w14:paraId="53CA42BD" w14:textId="77777777" w:rsidR="00547B8F" w:rsidRDefault="00547B8F">
            <w:pPr>
              <w:spacing w:after="240"/>
              <w:jc w:val="right"/>
            </w:pPr>
            <w:r>
              <w:t> </w:t>
            </w:r>
          </w:p>
        </w:tc>
      </w:tr>
      <w:tr w:rsidR="00000000" w14:paraId="4FA306CB" w14:textId="77777777">
        <w:trPr>
          <w:trHeight w:val="1109"/>
          <w:jc w:val="center"/>
        </w:trPr>
        <w:tc>
          <w:tcPr>
            <w:tcW w:w="32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51F0A" w14:textId="77777777" w:rsidR="00547B8F" w:rsidRDefault="00547B8F">
            <w:pPr>
              <w:spacing w:after="60" w:line="276" w:lineRule="auto"/>
              <w:jc w:val="right"/>
            </w:pPr>
            <w:r>
              <w:t> </w:t>
            </w:r>
          </w:p>
          <w:p w14:paraId="3534AC95" w14:textId="77777777" w:rsidR="00547B8F" w:rsidRDefault="00547B8F">
            <w:pPr>
              <w:spacing w:after="60" w:line="276" w:lineRule="auto"/>
              <w:jc w:val="right"/>
            </w:pPr>
            <w:r>
              <w:t> </w:t>
            </w:r>
          </w:p>
        </w:tc>
        <w:tc>
          <w:tcPr>
            <w:tcW w:w="1289" w:type="pct"/>
            <w:gridSpan w:val="2"/>
            <w:hideMark/>
          </w:tcPr>
          <w:p w14:paraId="40CDA3F9" w14:textId="77777777" w:rsidR="00547B8F" w:rsidRDefault="00547B8F">
            <w:pPr>
              <w:spacing w:after="60" w:line="276" w:lineRule="auto"/>
              <w:jc w:val="right"/>
            </w:pPr>
            <w:bookmarkStart w:id="0" w:name="p1"/>
            <w:bookmarkEnd w:id="0"/>
            <w:r>
              <w:rPr>
                <w:rFonts w:ascii="Arial" w:hAnsi="Arial" w:cs="Arial"/>
                <w:lang w:val="en-US"/>
              </w:rPr>
              <w:t> </w:t>
            </w:r>
          </w:p>
          <w:p w14:paraId="2C186B1D" w14:textId="77777777" w:rsidR="00547B8F" w:rsidRDefault="00547B8F">
            <w:pPr>
              <w:spacing w:after="60" w:line="276" w:lineRule="auto"/>
              <w:jc w:val="right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постановлению </w:t>
            </w:r>
          </w:p>
          <w:p w14:paraId="3FD20157" w14:textId="77777777" w:rsidR="00547B8F" w:rsidRDefault="00547B8F">
            <w:pPr>
              <w:spacing w:after="60" w:line="276" w:lineRule="auto"/>
              <w:jc w:val="right"/>
            </w:pPr>
            <w:r>
              <w:rPr>
                <w:rFonts w:ascii="Arial" w:hAnsi="Arial" w:cs="Arial"/>
              </w:rPr>
              <w:t xml:space="preserve">Правления </w:t>
            </w:r>
          </w:p>
          <w:p w14:paraId="768A3D38" w14:textId="77777777" w:rsidR="00547B8F" w:rsidRDefault="00547B8F">
            <w:pPr>
              <w:spacing w:after="60" w:line="276" w:lineRule="auto"/>
              <w:jc w:val="right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305B8CA6" w14:textId="77777777" w:rsidR="00547B8F" w:rsidRDefault="00547B8F">
            <w:pPr>
              <w:spacing w:after="60" w:line="276" w:lineRule="auto"/>
              <w:jc w:val="right"/>
            </w:pPr>
            <w:r>
              <w:rPr>
                <w:rFonts w:ascii="Arial" w:hAnsi="Arial" w:cs="Arial"/>
              </w:rPr>
              <w:t> Кыргызской Республики</w:t>
            </w:r>
            <w:r>
              <w:rPr>
                <w:rFonts w:ascii="Arial" w:hAnsi="Arial" w:cs="Arial"/>
              </w:rPr>
              <w:br/>
              <w:t>от 14 октября 2015 года</w:t>
            </w:r>
          </w:p>
          <w:p w14:paraId="432F8728" w14:textId="77777777" w:rsidR="00547B8F" w:rsidRDefault="00547B8F">
            <w:pPr>
              <w:spacing w:after="60" w:line="276" w:lineRule="auto"/>
              <w:jc w:val="right"/>
            </w:pPr>
            <w:r>
              <w:rPr>
                <w:rFonts w:ascii="Arial" w:hAnsi="Arial" w:cs="Arial"/>
              </w:rPr>
              <w:t> № 62/3</w:t>
            </w:r>
          </w:p>
        </w:tc>
        <w:tc>
          <w:tcPr>
            <w:tcW w:w="423" w:type="pct"/>
            <w:vAlign w:val="center"/>
            <w:hideMark/>
          </w:tcPr>
          <w:p w14:paraId="1160F4FB" w14:textId="77777777" w:rsidR="00547B8F" w:rsidRDefault="00547B8F">
            <w:r>
              <w:t> </w:t>
            </w:r>
          </w:p>
        </w:tc>
      </w:tr>
      <w:tr w:rsidR="00000000" w14:paraId="3A79A2F8" w14:textId="77777777">
        <w:trPr>
          <w:jc w:val="center"/>
        </w:trPr>
        <w:tc>
          <w:tcPr>
            <w:tcW w:w="3288" w:type="pct"/>
            <w:vAlign w:val="center"/>
            <w:hideMark/>
          </w:tcPr>
          <w:p w14:paraId="3C4869C5" w14:textId="77777777" w:rsidR="00547B8F" w:rsidRDefault="00547B8F"/>
        </w:tc>
        <w:tc>
          <w:tcPr>
            <w:tcW w:w="1289" w:type="pct"/>
            <w:gridSpan w:val="2"/>
            <w:vAlign w:val="center"/>
            <w:hideMark/>
          </w:tcPr>
          <w:p w14:paraId="410E841B" w14:textId="77777777" w:rsidR="00547B8F" w:rsidRDefault="00547B8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3" w:type="pct"/>
            <w:vAlign w:val="center"/>
            <w:hideMark/>
          </w:tcPr>
          <w:p w14:paraId="64EEDBF8" w14:textId="77777777" w:rsidR="00547B8F" w:rsidRDefault="00547B8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AC42DFC" w14:textId="77777777">
        <w:trPr>
          <w:jc w:val="center"/>
        </w:trPr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DD0D1" w14:textId="77777777" w:rsidR="00547B8F" w:rsidRDefault="00547B8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0E220" w14:textId="77777777" w:rsidR="00547B8F" w:rsidRDefault="00547B8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FDDAA" w14:textId="77777777" w:rsidR="00547B8F" w:rsidRDefault="00547B8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775F0" w14:textId="77777777" w:rsidR="00547B8F" w:rsidRDefault="00547B8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325066C" w14:textId="77777777" w:rsidR="00547B8F" w:rsidRDefault="00547B8F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 xml:space="preserve">в </w:t>
      </w:r>
      <w:r>
        <w:rPr>
          <w:rFonts w:ascii="Arial" w:hAnsi="Arial" w:cs="Arial"/>
          <w:b/>
          <w:bCs/>
        </w:rPr>
        <w:t>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 w14:paraId="2E7429F6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 и дополнения:</w:t>
      </w:r>
    </w:p>
    <w:p w14:paraId="397A9C35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1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1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FC76EED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второе предложение пункта 16 после слов "категорию классификации" дополнить словами ", если иное не установлено данным Положением.";</w:t>
      </w:r>
    </w:p>
    <w:p w14:paraId="10F7537E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21 дополнить абзацем следующего содержания:</w:t>
      </w:r>
    </w:p>
    <w:p w14:paraId="7B4AB0A2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"Банки могут классифицировать активы, несущие в себе кредитный риск, в национальной валюте как "нормальные активы" в случае, если они соответствуют требованиям, указанным в пункте 22 настоящего Положения.";</w:t>
      </w:r>
    </w:p>
    <w:p w14:paraId="7B6728F7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22 дополнить абзацем следующего содержания:</w:t>
      </w:r>
    </w:p>
    <w:p w14:paraId="3F9B7E25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первичная реструктуризация актива, несущего в себе кредитный риск,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активов".";</w:t>
      </w:r>
    </w:p>
    <w:p w14:paraId="4B43395E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22-1 следующего содержания:</w:t>
      </w:r>
    </w:p>
    <w:p w14:paraId="6CFCA283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"22-1. Банк должен классифицировать актив в иностранной валюте как минимум как "удовлетворительный" актив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более 75 процентов.";</w:t>
      </w:r>
    </w:p>
    <w:p w14:paraId="32F373DA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абзац </w:t>
      </w:r>
      <w:r>
        <w:rPr>
          <w:rFonts w:ascii="Arial" w:hAnsi="Arial" w:cs="Arial"/>
        </w:rPr>
        <w:t>двенадцатый пункта 23 после слова "актива" дополнить словами следующего содержания ", за исключением реструктуризации, указанной в пункте 22 настоящего Положения.";</w:t>
      </w:r>
    </w:p>
    <w:p w14:paraId="40B03A34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пунктами 23-1 и 23-2 следующего содержания:</w:t>
      </w:r>
    </w:p>
    <w:p w14:paraId="43B5A5B9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"23-1.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от 50 до 75 процентов.</w:t>
      </w:r>
    </w:p>
    <w:p w14:paraId="2AA372F7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23-2.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менее 50 процентов.";</w:t>
      </w:r>
    </w:p>
    <w:p w14:paraId="5B7E2F84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26 дополнить абзацем следующего содержания:</w:t>
      </w:r>
    </w:p>
    <w:p w14:paraId="12F1C73A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"При просрочке на 180 и более дней оплаты задолженности по активу данный актив должен классифицироваться как "потери".";</w:t>
      </w:r>
    </w:p>
    <w:p w14:paraId="6074C19A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43-1 после слова "классифицируются" дополнить словами "как минимум";</w:t>
      </w:r>
    </w:p>
    <w:p w14:paraId="7A34205C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43-2 изложить в следующей редакции:</w:t>
      </w:r>
    </w:p>
    <w:p w14:paraId="3CCA6D72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"43-2. В случае если залоговое обеспечение по активу, находящееся за пределами Кыргызской Республики, составляет более 50 процентов от общей стоимости залогового обеспечения, то такой актив классифицируется как минимум как "актив под наблюдением".";</w:t>
      </w:r>
    </w:p>
    <w:p w14:paraId="3CD58A5A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47 изложить в следующей редакции:</w:t>
      </w:r>
    </w:p>
    <w:p w14:paraId="672973A9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"47. Национальный банк устанавливает следующие размеры отчислений в РППУ по активам, размещенным согласно исламским принципам банковского дела и финансирования: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7782691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C4719D9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Общие резервы: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7728D" w14:textId="77777777" w:rsidR="00547B8F" w:rsidRDefault="00547B8F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24119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Специальные резервы:</w:t>
            </w:r>
          </w:p>
        </w:tc>
      </w:tr>
      <w:tr w:rsidR="00000000" w14:paraId="1BDDD1CE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6C2AEB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Нормальные - 0%;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75395" w14:textId="77777777" w:rsidR="00547B8F" w:rsidRDefault="00547B8F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E6FA4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Субстандартные - 25%;</w:t>
            </w:r>
          </w:p>
        </w:tc>
      </w:tr>
      <w:tr w:rsidR="00000000" w14:paraId="656CA0A9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C67C8B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Удовлетворительные - 2/2,5%;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9686" w14:textId="77777777" w:rsidR="00547B8F" w:rsidRDefault="00547B8F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F44BC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Сомнительные - 50%;</w:t>
            </w:r>
          </w:p>
        </w:tc>
      </w:tr>
      <w:tr w:rsidR="00000000" w14:paraId="7D3E50CF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35C4E5C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Активы под наблюдением - 5/7,5%;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6E687" w14:textId="77777777" w:rsidR="00547B8F" w:rsidRDefault="00547B8F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6B157" w14:textId="77777777" w:rsidR="00547B8F" w:rsidRDefault="00547B8F">
            <w:pPr>
              <w:spacing w:after="60" w:line="276" w:lineRule="auto"/>
            </w:pPr>
            <w:r>
              <w:rPr>
                <w:rFonts w:ascii="Arial" w:hAnsi="Arial" w:cs="Arial"/>
              </w:rPr>
              <w:t>Потери - 100%.</w:t>
            </w:r>
          </w:p>
        </w:tc>
      </w:tr>
    </w:tbl>
    <w:p w14:paraId="5AAF1F4A" w14:textId="77777777" w:rsidR="00547B8F" w:rsidRDefault="00547B8F">
      <w:pPr>
        <w:spacing w:before="60" w:after="60" w:line="276" w:lineRule="auto"/>
        <w:ind w:firstLine="567"/>
        <w:jc w:val="both"/>
      </w:pPr>
      <w:r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"удовлетворительным" активам банк должен формировать РППУ в размере 2 процентов, за исключением активов, указанных в пункте 22-1 настоящего Положения, по которым размер РППУ должен составлять 2,5 процента.</w:t>
      </w:r>
    </w:p>
    <w:p w14:paraId="0B505119" w14:textId="77777777" w:rsidR="00547B8F" w:rsidRDefault="00547B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 "активам под наблюдением" банк должен формировать РППУ в размере 5 процентов, за исключением активов, указанных в пункте 23-2 настоящего Положения, по которым размер РППУ должен составлять 7,5 процентов.".</w:t>
      </w:r>
    </w:p>
    <w:p w14:paraId="2343DF2F" w14:textId="77777777" w:rsidR="00547B8F" w:rsidRDefault="00547B8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8F"/>
    <w:rsid w:val="0054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1A20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26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12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2291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126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