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281F6" w14:textId="77777777" w:rsidR="00C01E6F" w:rsidRDefault="00C01E6F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01623865" wp14:editId="301A3CC8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C:\Users\User\AppData\Local\Temp\CdbDocEditor\8f66d0fb-699c-46a1-b10c-2bcb36d6acce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C:\Users\User\AppData\Local\Temp\CdbDocEditor\8f66d0fb-699c-46a1-b10c-2bcb36d6acce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0873E" w14:textId="77777777" w:rsidR="00C01E6F" w:rsidRDefault="00C01E6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7AC13D4C" w14:textId="77777777" w:rsidR="00C01E6F" w:rsidRDefault="00C01E6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62597C67" w14:textId="77777777" w:rsidR="00C01E6F" w:rsidRDefault="00C01E6F">
      <w:pPr>
        <w:spacing w:after="240"/>
      </w:pPr>
      <w:r>
        <w:rPr>
          <w:rFonts w:ascii="Arial" w:hAnsi="Arial" w:cs="Arial"/>
        </w:rPr>
        <w:t>от 14 октября 2015 года № 62/4</w:t>
      </w:r>
    </w:p>
    <w:p w14:paraId="1E06558F" w14:textId="77777777" w:rsidR="00C01E6F" w:rsidRDefault="00C01E6F">
      <w:pPr>
        <w:pStyle w:val="tkNazvanie"/>
      </w:pPr>
      <w:r>
        <w:rPr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</w:t>
      </w:r>
    </w:p>
    <w:p w14:paraId="740D1621" w14:textId="77777777" w:rsidR="00C01E6F" w:rsidRDefault="00C01E6F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6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</w:t>
      </w:r>
      <w:hyperlink r:id="rId7" w:history="1">
        <w:r>
          <w:rPr>
            <w:rStyle w:val="a3"/>
            <w:rFonts w:ascii="Arial" w:hAnsi="Arial" w:cs="Arial"/>
            <w:color w:val="000000"/>
            <w:u w:val="none"/>
          </w:rPr>
          <w:t>Закона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"О Национальном банке Кыргызской Республики" Правление Национального банка Кыргызской Республики</w:t>
      </w:r>
    </w:p>
    <w:p w14:paraId="3516DF42" w14:textId="77777777" w:rsidR="00C01E6F" w:rsidRDefault="00C01E6F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497FB6C6" w14:textId="77777777" w:rsidR="00C01E6F" w:rsidRDefault="00C01E6F">
      <w:pPr>
        <w:pStyle w:val="tkTekst"/>
      </w:pPr>
      <w:r>
        <w:rPr>
          <w:sz w:val="24"/>
          <w:szCs w:val="24"/>
        </w:rPr>
        <w:t xml:space="preserve">1. Внести </w:t>
      </w:r>
      <w:hyperlink r:id="rId8" w:anchor="з1" w:history="1">
        <w:r>
          <w:rPr>
            <w:rStyle w:val="a3"/>
            <w:sz w:val="24"/>
            <w:szCs w:val="24"/>
          </w:rPr>
          <w:t>изменения и дополнения</w:t>
        </w:r>
      </w:hyperlink>
      <w:r>
        <w:rPr>
          <w:sz w:val="24"/>
          <w:szCs w:val="24"/>
        </w:rPr>
        <w:t xml:space="preserve"> в </w:t>
      </w:r>
      <w:hyperlink r:id="rId9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(прилагается) "Об утверждении "</w:t>
      </w:r>
      <w:hyperlink r:id="rId10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35/13.</w:t>
      </w:r>
    </w:p>
    <w:p w14:paraId="4393B4ED" w14:textId="77777777" w:rsidR="00C01E6F" w:rsidRDefault="00C01E6F">
      <w:pPr>
        <w:pStyle w:val="tkTekst"/>
      </w:pPr>
      <w:r>
        <w:rPr>
          <w:sz w:val="24"/>
          <w:szCs w:val="24"/>
        </w:rPr>
        <w:t>2. Настоящее постановление вступает в силу по истечении пятнадцати дней со дня официального опубликования.</w:t>
      </w:r>
    </w:p>
    <w:p w14:paraId="1490D0A0" w14:textId="77777777" w:rsidR="00C01E6F" w:rsidRDefault="00C01E6F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12A04C84" w14:textId="77777777" w:rsidR="00C01E6F" w:rsidRDefault="00C01E6F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14:paraId="2AA414E2" w14:textId="77777777" w:rsidR="00C01E6F" w:rsidRDefault="00C01E6F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да включения в Государственный реестр нормативных правовых актов Кыргызской Республики.</w:t>
      </w:r>
    </w:p>
    <w:p w14:paraId="73C1ED07" w14:textId="77777777" w:rsidR="00C01E6F" w:rsidRDefault="00C01E6F">
      <w:pPr>
        <w:pStyle w:val="tkTekst"/>
      </w:pPr>
      <w:r>
        <w:rPr>
          <w:sz w:val="24"/>
          <w:szCs w:val="24"/>
        </w:rPr>
        <w:t>4. Управлению методологии надзора и лицензирования довести настоящее постановление до сведения коммерческих банков.</w:t>
      </w:r>
    </w:p>
    <w:p w14:paraId="71AF17F5" w14:textId="77777777" w:rsidR="00C01E6F" w:rsidRDefault="00C01E6F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заместителя Председателя Национального банка Л.Дж.Орозбаеву.</w:t>
      </w:r>
    </w:p>
    <w:tbl>
      <w:tblPr>
        <w:tblW w:w="5033" w:type="pct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485"/>
        <w:gridCol w:w="4474"/>
      </w:tblGrid>
      <w:tr w:rsidR="00000000" w14:paraId="15D9E6D5" w14:textId="77777777">
        <w:tc>
          <w:tcPr>
            <w:tcW w:w="16" w:type="pct"/>
            <w:vAlign w:val="center"/>
            <w:hideMark/>
          </w:tcPr>
          <w:p w14:paraId="6536F9ED" w14:textId="77777777" w:rsidR="00C01E6F" w:rsidRDefault="00C01E6F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F6E8" w14:textId="77777777" w:rsidR="00C01E6F" w:rsidRDefault="00C01E6F">
            <w:r>
              <w:t> </w:t>
            </w:r>
          </w:p>
        </w:tc>
        <w:tc>
          <w:tcPr>
            <w:tcW w:w="24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2D4C9" w14:textId="77777777" w:rsidR="00C01E6F" w:rsidRDefault="00C01E6F">
            <w:pPr>
              <w:jc w:val="right"/>
            </w:pPr>
            <w:r>
              <w:t> </w:t>
            </w:r>
          </w:p>
        </w:tc>
      </w:tr>
      <w:tr w:rsidR="00000000" w14:paraId="38D0EBD3" w14:textId="77777777">
        <w:tc>
          <w:tcPr>
            <w:tcW w:w="16" w:type="pct"/>
            <w:vAlign w:val="center"/>
            <w:hideMark/>
          </w:tcPr>
          <w:p w14:paraId="63793B9D" w14:textId="77777777" w:rsidR="00C01E6F" w:rsidRDefault="00C01E6F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0E5C1" w14:textId="77777777" w:rsidR="00C01E6F" w:rsidRDefault="00C01E6F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4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AF04A" w14:textId="77777777" w:rsidR="00C01E6F" w:rsidRDefault="00C01E6F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41F3C62F" w14:textId="77777777" w:rsidR="00C01E6F" w:rsidRDefault="00C01E6F">
      <w:r>
        <w:t> </w:t>
      </w:r>
    </w:p>
    <w:p w14:paraId="4006D7C9" w14:textId="77777777" w:rsidR="00C01E6F" w:rsidRDefault="00C01E6F">
      <w:pPr>
        <w:spacing w:before="400" w:after="400" w:line="276" w:lineRule="auto"/>
        <w:ind w:left="1134" w:right="1134"/>
        <w:jc w:val="center"/>
      </w:pPr>
      <w:bookmarkStart w:id="0" w:name="p1"/>
      <w:bookmarkEnd w:id="0"/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 xml:space="preserve">в </w:t>
      </w:r>
      <w:r>
        <w:rPr>
          <w:rFonts w:ascii="Arial" w:hAnsi="Arial" w:cs="Arial"/>
          <w:b/>
          <w:bCs/>
        </w:rPr>
        <w:t>постановление Правления Национального банка Кыргызской Республики "Об утверждении "Положения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</w:t>
      </w:r>
    </w:p>
    <w:p w14:paraId="6191044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"</w:t>
      </w:r>
      <w:hyperlink r:id="rId1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 и дополнения:</w:t>
      </w:r>
    </w:p>
    <w:p w14:paraId="135DCB7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3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r:id="rId1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1054875A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в пункте 11:</w:t>
      </w:r>
    </w:p>
    <w:p w14:paraId="15D954B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слов "кредитного риска" дополнить словами ", в том числе кредитного риска, обусловленного валютным риском";</w:t>
      </w:r>
    </w:p>
    <w:p w14:paraId="4D940C8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абзацем следующего содержания:</w:t>
      </w:r>
    </w:p>
    <w:p w14:paraId="43B28B2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"Банку необходимо обеспечить комплексную систему постоянного выявления, оценки, мониторинга и контроля кредитного риска, обусловленного валютным риском, а также обеспечить систему отчетности для осуществления контроля, анализа и мониторинга кредитного риска, обусловленного валютным риском.";</w:t>
      </w:r>
    </w:p>
    <w:p w14:paraId="3390989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в пункте 12:</w:t>
      </w:r>
    </w:p>
    <w:p w14:paraId="4D3B327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абзаце втором:</w:t>
      </w:r>
    </w:p>
    <w:p w14:paraId="730B2BD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после слов </w:t>
      </w:r>
      <w:r>
        <w:rPr>
          <w:rFonts w:ascii="Arial" w:hAnsi="Arial" w:cs="Arial"/>
        </w:rPr>
        <w:t>"вправе делегировать данное право" дополнить словами ", за исключением вопросов, относящихся к компетенции Совета директоров банка";</w:t>
      </w:r>
    </w:p>
    <w:p w14:paraId="0E9D8437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слова "нормативно-правовыми актами" заменить словами "нормативными правовыми актами";</w:t>
      </w:r>
    </w:p>
    <w:p w14:paraId="4BE5F2F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абзаце четвертом:</w:t>
      </w:r>
    </w:p>
    <w:p w14:paraId="4FA5F3E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 всему тексту абзаца слова "крупных активов, несущих в себе кредитный риск," заменить словами "активов, несущих крупный риск,";</w:t>
      </w:r>
    </w:p>
    <w:p w14:paraId="2C8A8B0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после слов "Выдача крупных активов, несущих в себе кредитный риск, и активов," слова "несущих в себе кредитный риск" исключить;</w:t>
      </w:r>
    </w:p>
    <w:p w14:paraId="5A05836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после слов "Совет директоров банка несет ответственность за одобрение решений о выдаче крупных активов," слова "несущих в себе кредитный риск" </w:t>
      </w:r>
      <w:r>
        <w:rPr>
          <w:rFonts w:ascii="Arial" w:hAnsi="Arial" w:cs="Arial"/>
          <w:color w:val="000000"/>
        </w:rPr>
        <w:t>исключить;</w:t>
      </w:r>
    </w:p>
    <w:p w14:paraId="208E24A4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3. </w:t>
      </w:r>
      <w:hyperlink r:id="rId15" w:history="1">
        <w:r>
          <w:rPr>
            <w:rStyle w:val="a3"/>
            <w:rFonts w:ascii="Arial" w:hAnsi="Arial" w:cs="Arial"/>
            <w:color w:val="000000"/>
            <w:u w:val="none"/>
          </w:rPr>
          <w:t>положение</w:t>
        </w:r>
      </w:hyperlink>
      <w:r>
        <w:rPr>
          <w:rFonts w:ascii="Arial" w:hAnsi="Arial" w:cs="Arial"/>
          <w:color w:val="000000"/>
        </w:rPr>
        <w:t xml:space="preserve"> дополнить пунктами 12-1 и 12-2 следующего содержания:</w:t>
      </w:r>
    </w:p>
    <w:p w14:paraId="0820597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"12-1. Банку необходимо как минимум ежегодно проводить внутренний аудит системы внутреннего контроля кредитного риска, обусловленного валютным риском, в том числе классификации активов.</w:t>
      </w:r>
    </w:p>
    <w:p w14:paraId="5C159C7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12-2. Банк должен обеспечить периодическое обучение сотрудников банка, вовлеченных в процессы финансирования и мониторинга, по вопросам финансирования, в том числе требованиям законодательства Кыргызской Республики и принципам ответственного финансирования.";</w:t>
      </w:r>
    </w:p>
    <w:p w14:paraId="4420B12A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в пункте 25 пятое предложение изложить в следующей редакции:</w:t>
      </w:r>
    </w:p>
    <w:p w14:paraId="35395E9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"Содержащуюся в Журнале информацию следует хранить в соответствии со сроком, установленным в "</w:t>
      </w:r>
      <w:hyperlink r:id="rId16" w:history="1">
        <w:r>
          <w:rPr>
            <w:rStyle w:val="a3"/>
            <w:rFonts w:ascii="Arial" w:hAnsi="Arial" w:cs="Arial"/>
            <w:color w:val="000000"/>
            <w:u w:val="none"/>
          </w:rPr>
          <w:t>Перечне</w:t>
        </w:r>
      </w:hyperlink>
      <w:r>
        <w:rPr>
          <w:rFonts w:ascii="Arial" w:hAnsi="Arial" w:cs="Arial"/>
          <w:color w:val="000000"/>
        </w:rPr>
        <w:t xml:space="preserve">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хранения", утвержденном </w:t>
      </w:r>
      <w:hyperlink r:id="rId1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  <w:color w:val="000000"/>
        </w:rPr>
        <w:t xml:space="preserve"> Правления Национального банка № 22/9 от 27 августа 2004 года.";</w:t>
      </w:r>
    </w:p>
    <w:p w14:paraId="74EF9C6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 в пункте 29:</w:t>
      </w:r>
    </w:p>
    <w:p w14:paraId="274F0BE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первом слова "специалист по финансированию" заменить словом "банк";</w:t>
      </w:r>
    </w:p>
    <w:p w14:paraId="1E89897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второй изложить в следующей редакции:</w:t>
      </w:r>
    </w:p>
    <w:p w14:paraId="1D6AA80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заполненную анкету/заявку, в которой должны быть указаны основные сведения о клиенте/партнере (если клиент/партнер - юридическое лицо - основной вид деятельности, приблизительный размер оборотных средств), структуру доходов (выручки) в разрезе валют (по активам в иностранной валюте), план погашения финансирования, основные бизнес-партнеры и др.;";</w:t>
      </w:r>
    </w:p>
    <w:p w14:paraId="1FBD685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четвертом после слов "законодательству Кыргызской Республики и/или" дополнить словами "по усмотрению банка";</w:t>
      </w:r>
    </w:p>
    <w:p w14:paraId="4059A4B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шестом после слов "на основе свидетельства или патента" дополнить словами ", за исключением физических лиц, которым выдано финансирование в размере не более 250000 сом";</w:t>
      </w:r>
    </w:p>
    <w:p w14:paraId="4A1177D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седьмой изложить в следующей редакции:</w:t>
      </w:r>
    </w:p>
    <w:p w14:paraId="1B2E7D9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бизнес-план (если клиент - юридическое лицо и сумма финансирования составляет более 3500000 сомов), включающий в себя цель получения финансирования, примерный прогноз движения средств клиента/партнера, источники погашения в разрезе валют, сроки и план мероприятий по погашению финансирования. При этом банк, в целях минимизации кредитных рисков, должен установить дополнительные требования к бизнес-плану по инвестиционному финансированию, крупному финансированию и другим видам финансирования, требующим боле</w:t>
      </w:r>
      <w:r>
        <w:rPr>
          <w:rFonts w:ascii="Arial" w:hAnsi="Arial" w:cs="Arial"/>
          <w:color w:val="000000"/>
        </w:rPr>
        <w:t>е тщательной оценки бизнеса клиента/партнера;";</w:t>
      </w:r>
    </w:p>
    <w:p w14:paraId="6195F76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восьмом после слов "подтверждающие права владения" дополнить словами "(если залогом является движимое/недвижимое имущество) и права пользования";</w:t>
      </w:r>
    </w:p>
    <w:p w14:paraId="5142196A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одиннадцатом слова "(6 месяцев - в случае если сумма финансирования не превышает 100000 сом)," исключить;</w:t>
      </w:r>
    </w:p>
    <w:p w14:paraId="6FD5EB4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абзац двенадцатый изложить в следующей редакции:</w:t>
      </w:r>
    </w:p>
    <w:p w14:paraId="7CAFA84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"Кроме перечисленных выше документов, банк может запросить и другие документы, которые необходимы банку, в том числе для оценки платежеспособности клиента/партнера (контракты, договоры, рекомендательные письма и т.п.).";</w:t>
      </w:r>
    </w:p>
    <w:p w14:paraId="79D6BEE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 в абзаце пятом пункта 30 после слов "другой залог," дополнить словами "приемлемый для обеих сторон,";</w:t>
      </w:r>
    </w:p>
    <w:p w14:paraId="3E67409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 в пункте 34:</w:t>
      </w:r>
    </w:p>
    <w:p w14:paraId="1A24FCF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абзацах втором и третьем слова "Специалист по финансированию" заменить словом "Банк";</w:t>
      </w:r>
    </w:p>
    <w:p w14:paraId="1809D7C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четвертый изложить в следующей редакции:</w:t>
      </w:r>
    </w:p>
    <w:p w14:paraId="4CA8397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денежные средства. Главный вопрос, на который должен ответить сотрудник банка, анализирующий заявку на получение актива, несущего в себе кредитный риск, это: сможет ли клиент/партнер получить достаточно денежных средств в форме дохода и потока наличности, в том числе в той валюте, в которой он намеревается получить финансирование для того, чтобы погасить актив, несущий в себе кредитный риск. При оценке банк должен выяснить, наблюдался ли в прошлом стабильный рост прибыли или объема продаж, есть ли вероят</w:t>
      </w:r>
      <w:r>
        <w:rPr>
          <w:rFonts w:ascii="Arial" w:hAnsi="Arial" w:cs="Arial"/>
          <w:color w:val="000000"/>
        </w:rPr>
        <w:t>ность, что подобный рост продолжится в течение срока действия договора.</w:t>
      </w:r>
    </w:p>
    <w:p w14:paraId="6CB1AFA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Кроме того, банк должен определить достаточность доходов (выручки) клиента/партнера (в том числе в иностранной валюте) с учетом роста обменных курсов для того, чтобы обеспечить своевременное погашение клиентом/партнером актива.</w:t>
      </w:r>
    </w:p>
    <w:p w14:paraId="77AD35B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случае, если у клиента/партнера в предстоящие 12 месяцев доходы (выручка) будут преимущественно в национальной валюте, банк должен оценить целесообразность выдачи финансирования в иностранной валюте такому клиенту/партнеру, учитывая кредитный риск, обусловленный валютным риском, в результате негативного изменения обменного курса для клиента/партнера с учетом требований нормативных правовых актов Национального банка, в том числе по РППУ;";</w:t>
      </w:r>
    </w:p>
    <w:p w14:paraId="4AF2C4C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седьмой изложить в следующей редакции:</w:t>
      </w:r>
    </w:p>
    <w:p w14:paraId="5E733C7D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поручительство членов группы солидарной ответственности. При этом под группой солидарной ответственности (далее - ГСО) понимается добровольное объединение участников - физических лиц (минимум 3 человека), занимающихся предпринимательской деятельностью, направленной на получение прибыли,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солидарно, при любых обстоятельствах, в соответствии с законодательством</w:t>
      </w:r>
      <w:r>
        <w:rPr>
          <w:rFonts w:ascii="Arial" w:hAnsi="Arial" w:cs="Arial"/>
          <w:color w:val="000000"/>
        </w:rPr>
        <w:t xml:space="preserve"> Кыргызской Республики.</w:t>
      </w:r>
    </w:p>
    <w:p w14:paraId="05E4647A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При рассмотрении заявки на получение актива, несущего в себе кредитный риск, участников ГСО, банк должен обращать внимание на то, чтобы члены одной семьи, совместно проживающие и/или ведущие совместный бизнес не были участниками одного ГСО.</w:t>
      </w:r>
    </w:p>
    <w:p w14:paraId="25EF405D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Необходимо учитывать, чтобы количество участников ГСО, не являющихся членами одной семьи, но имеющих совместный бизнес, не превышало 20 процентов от общего количества участников данного ГСО. И доля участников ГСО, не являющихся членами одной семьи, но имеющих совместный бизнес, не превышала 20 процентов от общей суммы выданного ГСО актива, несущего в себе кредитный риск.</w:t>
      </w:r>
    </w:p>
    <w:p w14:paraId="6684F16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целях настоящего Положения, под совместным бизнесом понимается экономическая деятельность, в которой задействованы несколько предпринимателей (партнеры, совладельцы и т.д.). При этом их деятельность направлена на получение прибыли от совместного производства и/или продажи товаров, оказания услуг, в которой, для этой цели используется имущество, нематериальные активы, труд данных предпринимателей. Участники совместного бизнеса делят между собой пропорционально прибыль от ведения бизнеса и несут риск потери</w:t>
      </w:r>
      <w:r>
        <w:rPr>
          <w:rFonts w:ascii="Arial" w:hAnsi="Arial" w:cs="Arial"/>
          <w:color w:val="000000"/>
        </w:rPr>
        <w:t xml:space="preserve"> всего или части имущества.";</w:t>
      </w:r>
    </w:p>
    <w:p w14:paraId="152E9A9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8. в пункте 35:</w:t>
      </w:r>
    </w:p>
    <w:p w14:paraId="37ECA0D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слова "Специалист по финансированию" заменить словом "Банк";</w:t>
      </w:r>
    </w:p>
    <w:p w14:paraId="0BE23A3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дополнить предложением следующего содержания:</w:t>
      </w:r>
    </w:p>
    <w:p w14:paraId="00E0CE24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"Ответственность за соблюдение требований, указанных в пункте 34 настоящего Положения, несут лица, </w:t>
      </w:r>
      <w:r>
        <w:rPr>
          <w:rFonts w:ascii="Arial" w:hAnsi="Arial" w:cs="Arial"/>
          <w:color w:val="000000"/>
        </w:rPr>
        <w:t>уполномоченные на принятие решения о выдаче актива, несущего в себе кредитный риск.";</w:t>
      </w:r>
    </w:p>
    <w:p w14:paraId="4B50F35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9. </w:t>
      </w:r>
      <w:hyperlink r:id="rId18" w:history="1">
        <w:r>
          <w:rPr>
            <w:rStyle w:val="a3"/>
            <w:rFonts w:ascii="Arial" w:hAnsi="Arial" w:cs="Arial"/>
            <w:color w:val="000000"/>
            <w:u w:val="none"/>
          </w:rPr>
          <w:t>Положение</w:t>
        </w:r>
      </w:hyperlink>
      <w:r>
        <w:rPr>
          <w:rFonts w:ascii="Arial" w:hAnsi="Arial" w:cs="Arial"/>
          <w:color w:val="000000"/>
        </w:rPr>
        <w:t xml:space="preserve"> дополнить пунктом 38-1 следующего содержания:</w:t>
      </w:r>
    </w:p>
    <w:p w14:paraId="7B9486F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"38-1. Банк может выдать клиенту финансирование на потребительские цели только в случае, если соотношение планируемых ежемесячных платежей по активу, несущему в себе кредитный риск (основной долг и наценка/доход), к среднемесячному совокупному доходу клиента составляет менее 50 процентов.";</w:t>
      </w:r>
    </w:p>
    <w:p w14:paraId="0C0B34D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10. пункт 43 изложить в следующей редакции:</w:t>
      </w:r>
    </w:p>
    <w:p w14:paraId="24F6ADB7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"43. При заключении договора следует оговорить все условия, на которых выдается и будет погашаться актив, несущий в себе кредитный риск, для того, чтобы в дальнейшем избежать возможных проблем с возвратностью. При этом банк не вправе в одностороннем порядке менять первоначальные условия договора, за исключением случая, когда это право прямо оговорено в договоре с установлением срока уведомления клиента (не менее чем 30 дней), а также с указанием ограниченного перечня конкретных статей, условий и максимальны</w:t>
      </w:r>
      <w:r>
        <w:rPr>
          <w:rFonts w:ascii="Arial" w:hAnsi="Arial" w:cs="Arial"/>
          <w:color w:val="000000"/>
        </w:rPr>
        <w:t>х/минимальных границ их изменений. При составлении совместно с клиентом/партнером графика планового погашения актива, несущего в себе кредитный риск и наценки/дохода по нему, целесообразно ориентироваться на цель актива, несущего в себе кредитный риск и специфику бизнеса клиента/партнера, представленные им и проверенные банком бизнес-план и примерный прогноз движения денежных средств. График погашения задолженности, как минимум, должен включать сумму актива, наценку по активу, дату выдачи, даты плановых пог</w:t>
      </w:r>
      <w:r>
        <w:rPr>
          <w:rFonts w:ascii="Arial" w:hAnsi="Arial" w:cs="Arial"/>
          <w:color w:val="000000"/>
        </w:rPr>
        <w:t>ашений с указанием сумм плановых погашений по основной сумме и по наценке, и остатков задолженности по активу. График погашения задолженности является неотъемлемой частью договора о предоставлении финансирования. Не требуется график погашения задолженности по продуктам финансирования, по которым его составление не предусматривается (овердрафты по платежным картам в рамках зарплатных проектов, линии финансирования и т.п.).";</w:t>
      </w:r>
    </w:p>
    <w:p w14:paraId="2673134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11. пункт 44 изложить в следующей редакции:</w:t>
      </w:r>
    </w:p>
    <w:p w14:paraId="27B6934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"44. В договоре, как минимум, указывается:</w:t>
      </w:r>
    </w:p>
    <w:p w14:paraId="223D15DD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наименование сторон;</w:t>
      </w:r>
    </w:p>
    <w:p w14:paraId="1C7C778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предмет договора;</w:t>
      </w:r>
    </w:p>
    <w:p w14:paraId="6E036C3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период действия договора;</w:t>
      </w:r>
    </w:p>
    <w:p w14:paraId="145C17F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основные условия предоставления актива, несущего в себе кредитный риск, сумма, срок погашения, обеспечение, наценка/доход по нему и методы расчета, форма предоставления актива: наличная (через кассу) или безналичная (в том числе на счет клиента/партнера, посредством использования банковских платежных карт и др.);</w:t>
      </w:r>
    </w:p>
    <w:p w14:paraId="2C10DE7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целевое назначение актива, несущего в себе кредитный риск;</w:t>
      </w:r>
    </w:p>
    <w:p w14:paraId="1E332C6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права и обязанности сторон;</w:t>
      </w:r>
    </w:p>
    <w:p w14:paraId="2C3A8B7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право клиента на досрочное погашение актива, несущего в себе кредитный риск, при условии уведомления об этом банка не менее чем за 30 дней до дня такого возврата, в том числе без применения штрафных санкций при досрочном погашении по истечении шести месяцев с момента получения кредита. Досрочное погашение одного участника ГСО возможно при наличии письменного согласия участников ГСО;</w:t>
      </w:r>
    </w:p>
    <w:p w14:paraId="5D04076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условия предоставления информации о клиенте/партнере в кредитное бюро;</w:t>
      </w:r>
    </w:p>
    <w:p w14:paraId="7E9BD6D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санкции за нарушение какой-либо стороной своих обязательств, случаи и условия расторжения договора.</w:t>
      </w:r>
    </w:p>
    <w:p w14:paraId="3B8E2F07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случае досрочного погашения актива, несущего в себе кредитный риск, одним из участников ГСО в своей части, он продолжает нести солидарную ответственность по договору поручительства до полного погашения актива, полученного в составе данного ГСО. При условии согласия участников ГСО и банка, а также соблюдения условий по минимальному количеству состава ГСО, участник, погасивший актив, несущий в себе кредитный риск, в своей части, может быть освобожден от солидарной ответственности.".</w:t>
      </w:r>
    </w:p>
    <w:p w14:paraId="58AF047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12. в пункте 45:</w:t>
      </w:r>
    </w:p>
    <w:p w14:paraId="4D4B632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второй изложить в следующей редакции:</w:t>
      </w:r>
    </w:p>
    <w:p w14:paraId="6026ECA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"Банк должен предоставить и ознакомить клиента с указанным перечнем, при необходимости </w:t>
      </w:r>
      <w:r>
        <w:rPr>
          <w:rFonts w:ascii="Arial" w:hAnsi="Arial" w:cs="Arial"/>
          <w:color w:val="000000"/>
        </w:rPr>
        <w:t>предоставить клиенту/партнеру разъяснения по порядку расчетов актива, несущего в себе кредитный риск, пени, штрафа, порядку получения/погашения актива, в том числе с использованием банковских платежных карт, и о возможных рисках, неплатежеспособности в условиях роста обменного курса иностранной валюты, если актив получен в иностранной валюте, а ожидаемый доход (или его часть) - в национальной, и др., а также получить согласие клиента/партнера, свидетельством которого будет являться его подпись.";</w:t>
      </w:r>
    </w:p>
    <w:p w14:paraId="5051088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третьем второе предложение изложить в следующей редакции:</w:t>
      </w:r>
    </w:p>
    <w:p w14:paraId="4FC0D85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"В тех случаях, когда банк не предоставляет такие услуги, банк для осведомленности клиента/партнера должен указывать приблизительную стоимость (диапазон) таких расходов на дату заключения договора с указанием того, что данные расходы являются расходами в пользу третьих лиц.";</w:t>
      </w:r>
    </w:p>
    <w:p w14:paraId="34377AE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седьмой дополнить предложениями следующего содержания:</w:t>
      </w:r>
    </w:p>
    <w:p w14:paraId="4F7219AD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". Штрафные санкции и пени могут применяться в случаях, предусмотренных стандартами Шариата. Размер неустойки (штрафа, пени) не должен превышать 20 процентов от суммы остатка финансирования. При этом, денежные средства, полученные в виде неустойки (штрафа, пени), должны быть направлены на благотворительные цели в организации, не аффилированные с финансово-кредитным учреждением;";</w:t>
      </w:r>
    </w:p>
    <w:p w14:paraId="674FD91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13. пункт 46 признать утратившим силу;</w:t>
      </w:r>
    </w:p>
    <w:p w14:paraId="7D47252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14. пункт 47 изложить в следующей редакции:</w:t>
      </w:r>
    </w:p>
    <w:p w14:paraId="2D687FE4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"47. В договоре важно предусмотреть периодическое предоставление клиентом/партнером финансовой отчетности и/или других финансовых документов, подтверждающих использование клиентом/партнером актива, несущего в себе кредитный риск, по целевому назначению.";</w:t>
      </w:r>
    </w:p>
    <w:p w14:paraId="1CFF0F1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15. положение дополнить пунктом 50-1 следующего содержания:</w:t>
      </w:r>
    </w:p>
    <w:p w14:paraId="7FF2C73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"50-1. Если договор </w:t>
      </w:r>
      <w:r>
        <w:rPr>
          <w:rFonts w:ascii="Arial" w:hAnsi="Arial" w:cs="Arial"/>
          <w:color w:val="000000"/>
        </w:rPr>
        <w:t>линии финансирования содержит норму, согласно которой после получения первой части линии финансирования аннулируется право клиента/партнера на получение оставшейся части линии финансирования или аннулируется обязательство банка по выдаче оставшейся части линии финансирования, и при этом банк не создает резервов на покрытие потенциальных потерь и убытков на забалансовые обязательства по линии финансирования, то банк обязан, начиная с выдачи второй части линии финансирования и при каждой очередной выдаче част</w:t>
      </w:r>
      <w:r>
        <w:rPr>
          <w:rFonts w:ascii="Arial" w:hAnsi="Arial" w:cs="Arial"/>
          <w:color w:val="000000"/>
        </w:rPr>
        <w:t>и линии финансирования, собирать пакет необходимых документов (пункты 4, 5, 11, 15, 18 приложения 1 к настоящему Положению и отчет о целевом использовании предыдущей части линии финансирования) для проведения повторного анализа, при этом могут быть использованы ранее представленные документы клиента/партнера, если они представлялись не более шести месяцев назад. При этом вопрос о выдаче очередной части линии финансирования должен решаться уполномоченным органом/лицами в соответствии с политикой финансирован</w:t>
      </w:r>
      <w:r>
        <w:rPr>
          <w:rFonts w:ascii="Arial" w:hAnsi="Arial" w:cs="Arial"/>
          <w:color w:val="000000"/>
        </w:rPr>
        <w:t>ия банка. Вместе с тем, в договоре о финансировании должна быть подпись, что клиент ознакомился со всеми условиями предоставления линии финансирования, условия договора понятны и клиент/партнер с ними согласен.";</w:t>
      </w:r>
    </w:p>
    <w:p w14:paraId="1FD1450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16. в пункте 51 слово "(бланковыми)" исключить;</w:t>
      </w:r>
    </w:p>
    <w:p w14:paraId="3A50D78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17. в пункте 53 после слов "клиента/партнера" слова "(если клиент/партнер - нерезидент, место его бизнеса должно находиться на территории Кыргызской Республики)" заменить словами ", в том числе анализу кредитного риска, обусловленного валютным риском (если финансирование выдано в иностранной валюте),";</w:t>
      </w:r>
    </w:p>
    <w:p w14:paraId="4A686D2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18. в пункте 63:</w:t>
      </w:r>
    </w:p>
    <w:p w14:paraId="232FF2E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первом после слов "считаются бланковыми" дополнить словами ", за исключением овердрафтов по платежным картам в рамках зарплатных проектов,";</w:t>
      </w:r>
    </w:p>
    <w:p w14:paraId="0185F57D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втором после слов "(как минимум двух лет)" дополнить словами "(за исключением активов в размере не более 250000 сом, длительность которых должна быть как минимум 12 месяцев)";</w:t>
      </w:r>
    </w:p>
    <w:p w14:paraId="0B277C07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19. в абзаце втором пункта 66 цифры "150000" заменить цифрами "250000";</w:t>
      </w:r>
    </w:p>
    <w:p w14:paraId="04CDD43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20. пункт 68 изложить в следующей редакции:</w:t>
      </w:r>
    </w:p>
    <w:p w14:paraId="67520AE4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"68. Банк должен не реже одного раза в месяц (при изменении официального обменного курса иностранной валюты на 5 и более процентов в течение месяца - незамедлительно) проводить анализ влияния изменений обменных курсов иностранных валют по отношению к сому на активы, подверженные кредитному риску, обусловленному валютным риском. На основании проведенного анализа банк должен определить возможные потери (убытки) от колебаний обменных курсов валют, влияние колебаний валют на платежеспособность клиента/партнера.</w:t>
      </w:r>
      <w:r>
        <w:rPr>
          <w:rFonts w:ascii="Arial" w:hAnsi="Arial" w:cs="Arial"/>
          <w:color w:val="000000"/>
        </w:rPr>
        <w:t>";</w:t>
      </w:r>
    </w:p>
    <w:p w14:paraId="5178C00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21. </w:t>
      </w:r>
      <w:hyperlink r:id="rId19" w:history="1">
        <w:r>
          <w:rPr>
            <w:rStyle w:val="a3"/>
            <w:rFonts w:ascii="Arial" w:hAnsi="Arial" w:cs="Arial"/>
            <w:color w:val="000000"/>
            <w:u w:val="none"/>
          </w:rPr>
          <w:t>Положение</w:t>
        </w:r>
      </w:hyperlink>
      <w:r>
        <w:rPr>
          <w:rFonts w:ascii="Arial" w:hAnsi="Arial" w:cs="Arial"/>
          <w:color w:val="000000"/>
        </w:rPr>
        <w:t xml:space="preserve"> дополнить пунктами 68-1, 68-2, 68-3, 68-4 следующего содержания:</w:t>
      </w:r>
    </w:p>
    <w:p w14:paraId="206BC3F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"68-1. Банк должен периодически проводить мониторинг действующих активов. Периодичность мониторинга (в том числе с выездом) актива устанавливается банком самостоятельно в зависимости от суммы и вида актива, а также от его категории классификации. При этом банк должен проводить мониторинг с выездом:</w:t>
      </w:r>
    </w:p>
    <w:p w14:paraId="614A3C3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не реже одного раза в полгода для активов, сумма которых превышает один процент от чистого суммарного капитала банка;</w:t>
      </w:r>
    </w:p>
    <w:p w14:paraId="77F3ECA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не реже одного раза в год для остальных активов.</w:t>
      </w:r>
    </w:p>
    <w:p w14:paraId="63C9CB9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отчете о мониторинге актива в течение предстоящего периода погашения актива (в случае средне- и долгосрочного актива - в течение предстоящих 12 месяцев) должны быть отражены изменения ожидаемых доходов (выручки) клиента/партнера (для активов в иностранной валюте), изменения в деятельности клиента/партнера, действующий статус актива, соблюдение условий договора о финансировании, а при мониторинге залога - его состояние, обеспечение его сохранности, а также другие события и факторы в целях определения спосо</w:t>
      </w:r>
      <w:r>
        <w:rPr>
          <w:rFonts w:ascii="Arial" w:hAnsi="Arial" w:cs="Arial"/>
          <w:color w:val="000000"/>
        </w:rPr>
        <w:t>бности клиента/партнера своевременно погасить актив.</w:t>
      </w:r>
    </w:p>
    <w:p w14:paraId="4F94E18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68-2. Банк, предоставляющий активы другим финансово-кредитным учреждениям, должен проводить тщательный анализ достоверности информации, предоставляемой клиентом/партнером этих финансово-кредитных учреждений, а также проводить тщательный мониторинг (в том числе с выездом) таких активов.</w:t>
      </w:r>
    </w:p>
    <w:p w14:paraId="1D9D11A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68-3. Для принятия соответствующего решения, по итогам рассмотрения, руководству банка ежемесячно представляется отчет с обобщенной информацией о результатах анализа с соответствующими предложениями, и ежеквартально - отчет с обобщенной информацией о результатах мониторинга с соответствующими предложениями.</w:t>
      </w:r>
    </w:p>
    <w:p w14:paraId="2DBACEB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68-4. К отчету по мониторингу должны быть приложены подтверждающие документы. При выявлении проблемы специалист по финансированию должен оперативно сообщить о ней руководству банка, при необходимости, с предложением пересмотреть категорию классификации данного актива, несущего в себе кредитный риск. При просрочке платежей по активу, несущему в себе кредитный риск или при ухудшении классификации актива, несущего в себе кредитный риск, необходимо проводить мониторинг такого актива (как минимум, анализ текущег</w:t>
      </w:r>
      <w:r>
        <w:rPr>
          <w:rFonts w:ascii="Arial" w:hAnsi="Arial" w:cs="Arial"/>
          <w:color w:val="000000"/>
        </w:rPr>
        <w:t>о финансового положения клиента/партнера, контакт с клиентом/партнером) не реже одного раза в месяц.";</w:t>
      </w:r>
    </w:p>
    <w:p w14:paraId="7299324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22. в пункте 70:</w:t>
      </w:r>
    </w:p>
    <w:p w14:paraId="7A2A8191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пятом после слов "клиента/партнера" дополнить словами ", в том числе, если финансирование выдано в иностранной валюте;";</w:t>
      </w:r>
    </w:p>
    <w:p w14:paraId="4BB9854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абзаце одиннадцатом:</w:t>
      </w:r>
    </w:p>
    <w:p w14:paraId="273B848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после слов "(договоры, акты приемки, счета-фактуры, накладные и т.п.)" дополнить словами "при их наличии,";</w:t>
      </w:r>
    </w:p>
    <w:p w14:paraId="3159348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после слов "целей финансирования" дополнить словами ", за исключением актива в размере не более 250000 сом.";</w:t>
      </w:r>
    </w:p>
    <w:p w14:paraId="4640B29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23. пункт 72 изложить в следующей редакции:</w:t>
      </w:r>
    </w:p>
    <w:p w14:paraId="3B10811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"72. В случае, если в качестве единственного обеспечения выступает гарантия (поручительство), за исключением групповых активов, банк должен провести тщательный анализ финансового состоянии гаранта (поручителя) с целью определения способности исполнения гарантийного обязательства.";</w:t>
      </w:r>
    </w:p>
    <w:p w14:paraId="0334D2E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24. абзац первый пункта 73 изложить в следующей редакции:</w:t>
      </w:r>
    </w:p>
    <w:p w14:paraId="1C8AC9D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"С целью постоянного контроля за сохранностью заложенного имущества и выявления возможных изменений его текущей стоимости, банк должен проводить мониторинг залога в местах его хранения и местонахождения, периодичность которого зависит от вида залога и периодичности мониторинга актива, несущего в себе кредитный риск, но не реже одного раза в год. Периодичность мониторинга залога определяется банком самостоятельно в соответствии с залоговой политикой и зависит от качества актива и других факторов, в том числе</w:t>
      </w:r>
      <w:r>
        <w:rPr>
          <w:rFonts w:ascii="Arial" w:hAnsi="Arial" w:cs="Arial"/>
          <w:color w:val="000000"/>
        </w:rPr>
        <w:t xml:space="preserve"> от вида залога с учетом риска потери, за исключением движимого имущества, периодичность мониторинга которого должна быть не реже одного раза в полгода. При этом если актив обеспечен на 40 и более процентов в виде товаров в обороте - мониторинг должен проводиться не реже одного раза в месяц, а если меньше на 40 процентов - не реже одного раза в квартал. При этом обязательным условием должно быть обеспечение банком контроля за сохранностью заложенного имущества. При этом особое внимание необходимо обратить н</w:t>
      </w:r>
      <w:r>
        <w:rPr>
          <w:rFonts w:ascii="Arial" w:hAnsi="Arial" w:cs="Arial"/>
          <w:color w:val="000000"/>
        </w:rPr>
        <w:t>а следующие моменты:";</w:t>
      </w:r>
    </w:p>
    <w:p w14:paraId="136D4D1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25. в пункте 74:</w:t>
      </w:r>
    </w:p>
    <w:p w14:paraId="633346F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в абзаце седьмом слово "пролонгации" заменить словом "реструктуризации";</w:t>
      </w:r>
    </w:p>
    <w:p w14:paraId="41375DBB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дополнить абзацем следующего содержания:</w:t>
      </w:r>
    </w:p>
    <w:p w14:paraId="0413B88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"В соответствующих внутренних нормативных документах банка (политики, процедуры и др.) должны быть отражены порядок работы с проблемными активами, в том числе порядок реструктуризации активов, и проведение дополнительного анализа способности клиента/партнера погасить финансирование, а также при необходимости, предварительные условия для реструктуризации финансирования, если это не ухудшает права и не увеличивает обязанности клиента/партнера (к примеру, минимальный единовременный взнос в погашение задолженно</w:t>
      </w:r>
      <w:r>
        <w:rPr>
          <w:rFonts w:ascii="Arial" w:hAnsi="Arial" w:cs="Arial"/>
          <w:color w:val="000000"/>
        </w:rPr>
        <w:t>сти по финансированию, предоставление клиентом/партнером документации, свидетельствующей о его способности погасить финансирование, дополнительное обеспечение и т.п.). Банку запрещается проводить реструктуризацию аффилированных лиц и инсайдеров более двух раз в течение одного года.</w:t>
      </w:r>
    </w:p>
    <w:p w14:paraId="039A2A72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Решение о повторной реструктуризации актива принимается Правлением банка;";</w:t>
      </w:r>
    </w:p>
    <w:p w14:paraId="4C5B1B6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26. в </w:t>
      </w:r>
      <w:hyperlink r:id="rId20" w:anchor="pr1" w:history="1">
        <w:r>
          <w:rPr>
            <w:rStyle w:val="a3"/>
            <w:rFonts w:ascii="Arial" w:hAnsi="Arial" w:cs="Arial"/>
            <w:color w:val="000000"/>
            <w:u w:val="none"/>
          </w:rPr>
          <w:t>приложении 1</w:t>
        </w:r>
      </w:hyperlink>
      <w:r>
        <w:rPr>
          <w:rFonts w:ascii="Arial" w:hAnsi="Arial" w:cs="Arial"/>
          <w:color w:val="000000"/>
        </w:rPr>
        <w:t>:</w:t>
      </w:r>
    </w:p>
    <w:p w14:paraId="5E36020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абзац четырнадцатый пункта 1 изложить в следующей редакции:</w:t>
      </w:r>
    </w:p>
    <w:p w14:paraId="58F96DD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источники погашения актива, несущего в себе кредитный риск (первичный: в разрезе валют, вторичный) и план его погашения;";</w:t>
      </w:r>
    </w:p>
    <w:p w14:paraId="73F77EA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пункте 5:</w:t>
      </w:r>
    </w:p>
    <w:p w14:paraId="78C30404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после слов "продолжительность работы," дополнить словами "а также";</w:t>
      </w:r>
    </w:p>
    <w:p w14:paraId="6C7DF993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после слов "(если клиент/партнер - физическое лицо)" дополнить словами "в разрезе валют";</w:t>
      </w:r>
    </w:p>
    <w:p w14:paraId="37DC5A70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пункт 8 изложить в следующей редакции:</w:t>
      </w:r>
    </w:p>
    <w:p w14:paraId="1B865308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"8. Бизнес-план (если клиент/партнер - юридическое лицо и сумма финансирования составляет более 3500000 сом либо, если финансируется инвестиционный проект/бизнес).";</w:t>
      </w:r>
    </w:p>
    <w:p w14:paraId="0B2C134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пункт 9 изложить в следующей редакции:</w:t>
      </w:r>
    </w:p>
    <w:p w14:paraId="34ED500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"9. Документ из государственных органов о регистрации (если клиент/партнер юридическое лицо или физическое лицо, осуществляющее предпринимательскую деятельность на основе свидетельства или патента), за исключением физических лиц, которым выдано финансирование в размере не более 250000 сом.";</w:t>
      </w:r>
    </w:p>
    <w:p w14:paraId="0F25162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пункте 15 слово "Ежегодная" заменить словом "Годовая";</w:t>
      </w:r>
    </w:p>
    <w:p w14:paraId="1CD0CE89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пункт 19 изложить в следующей редакции:</w:t>
      </w:r>
    </w:p>
    <w:p w14:paraId="11901FDC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"19. Отчет о целевом использовании финансирования, подтвержденный документами (договоры, акты приемки, счета-фактуры, накладные и т.п.) при их наличии, в зависимости от целей финансирования, за исключением финансирования в размере не более 250000 сом.";</w:t>
      </w:r>
    </w:p>
    <w:p w14:paraId="6122F657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пункт 34 изложить в следующей редакции:</w:t>
      </w:r>
    </w:p>
    <w:p w14:paraId="15514305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"34. Финансовая отчетность гаранта за последний год (если гарантия является единственным обеспечением).";</w:t>
      </w:r>
    </w:p>
    <w:p w14:paraId="6984E15E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27. в </w:t>
      </w:r>
      <w:hyperlink r:id="rId21" w:anchor="pr6" w:history="1">
        <w:r>
          <w:rPr>
            <w:rStyle w:val="a3"/>
            <w:rFonts w:ascii="Arial" w:hAnsi="Arial" w:cs="Arial"/>
            <w:color w:val="000000"/>
            <w:u w:val="none"/>
          </w:rPr>
          <w:t>приложении 6</w:t>
        </w:r>
      </w:hyperlink>
      <w:r>
        <w:rPr>
          <w:rFonts w:ascii="Arial" w:hAnsi="Arial" w:cs="Arial"/>
          <w:color w:val="000000"/>
        </w:rPr>
        <w:t>:</w:t>
      </w:r>
    </w:p>
    <w:p w14:paraId="29C6C916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раздел "Права клиента/партнера банка" Перечня прав, расходов (платежей) клиентов/партнеров банка и штрафных санкций изложить в следующей редакции:</w:t>
      </w:r>
    </w:p>
    <w:p w14:paraId="4A1D2716" w14:textId="77777777" w:rsidR="00C01E6F" w:rsidRDefault="00C01E6F">
      <w:pPr>
        <w:spacing w:after="60" w:line="276" w:lineRule="auto"/>
        <w:jc w:val="both"/>
      </w:pPr>
      <w:r>
        <w:rPr>
          <w:rFonts w:ascii="Arial" w:hAnsi="Arial" w:cs="Arial"/>
          <w:color w:val="000000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2"/>
        <w:gridCol w:w="3643"/>
      </w:tblGrid>
      <w:tr w:rsidR="00000000" w14:paraId="2384C095" w14:textId="77777777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4584" w14:textId="77777777" w:rsidR="00C01E6F" w:rsidRDefault="00C01E6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Права клиента/партнера банка</w:t>
            </w:r>
          </w:p>
        </w:tc>
      </w:tr>
      <w:tr w:rsidR="00000000" w14:paraId="739DF6DF" w14:textId="77777777"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CCF9F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 xml:space="preserve">Отказаться на </w:t>
            </w:r>
            <w:r>
              <w:rPr>
                <w:rFonts w:ascii="Arial" w:hAnsi="Arial" w:cs="Arial"/>
                <w:color w:val="000000"/>
              </w:rPr>
              <w:t>безвозмездной основе (за исключением случая приобретения банком активов в рамках финансирования) от получения актива, несущего кредитный риск с момента подписания договора до получения актива</w:t>
            </w:r>
          </w:p>
        </w:tc>
        <w:tc>
          <w:tcPr>
            <w:tcW w:w="195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5E924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Обязательные права клиента/партнера указываются в договоре в обязательном порядке в соответствии с требованиями настоящего Положения</w:t>
            </w:r>
          </w:p>
        </w:tc>
      </w:tr>
      <w:tr w:rsidR="00000000" w14:paraId="13716A5D" w14:textId="77777777"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4BF54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Получить на руки проект договора со всеми прилагаемыми к нему документами и обратиться за юридической консультацией за пределами банка, при этом время, предоставляемое клиенту/партнеру на ознакомление с договором должно быть не менее трех дней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FCA5CC" w14:textId="77777777" w:rsidR="00C01E6F" w:rsidRDefault="00C01E6F"/>
        </w:tc>
      </w:tr>
      <w:tr w:rsidR="00000000" w14:paraId="16A6F8A5" w14:textId="77777777"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A30CE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Получить разъяснения по порядку расчетов платежей по активу, несущему в себе кредитный риск, пени, штрафных санкций и порядку получения/погашения актива, несущего в себе кредитный риск, с использованием банковских платежных карт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EF918" w14:textId="77777777" w:rsidR="00C01E6F" w:rsidRDefault="00C01E6F"/>
        </w:tc>
      </w:tr>
      <w:tr w:rsidR="00000000" w14:paraId="6FCE04AD" w14:textId="77777777"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D98C0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Получить разъяснение о рисках, связанных с получением актива, несущего в себе кредитный риск, в иностранной валюте, когда доходы ожидаются в национальной валюте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9CA2E" w14:textId="77777777" w:rsidR="00C01E6F" w:rsidRDefault="00C01E6F"/>
        </w:tc>
      </w:tr>
      <w:tr w:rsidR="00000000" w14:paraId="33FA3AAB" w14:textId="77777777"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64301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 xml:space="preserve">Выбрать язык </w:t>
            </w:r>
            <w:r>
              <w:rPr>
                <w:rFonts w:ascii="Arial" w:hAnsi="Arial" w:cs="Arial"/>
                <w:color w:val="000000"/>
              </w:rPr>
              <w:t>(государственный или официальный), на котором будет составлен (оформлен) договор и настоящий перечень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55568" w14:textId="77777777" w:rsidR="00C01E6F" w:rsidRDefault="00C01E6F">
            <w:pPr>
              <w:spacing w:after="60" w:line="276" w:lineRule="auto"/>
            </w:pPr>
            <w:r>
              <w:t> </w:t>
            </w:r>
          </w:p>
        </w:tc>
      </w:tr>
    </w:tbl>
    <w:p w14:paraId="21A97B54" w14:textId="77777777" w:rsidR="00C01E6F" w:rsidRDefault="00C01E6F">
      <w:pPr>
        <w:spacing w:after="60" w:line="276" w:lineRule="auto"/>
        <w:ind w:firstLine="567"/>
        <w:jc w:val="right"/>
      </w:pPr>
      <w:r>
        <w:rPr>
          <w:rFonts w:ascii="Arial" w:hAnsi="Arial" w:cs="Arial"/>
          <w:color w:val="000000"/>
        </w:rPr>
        <w:t>";</w:t>
      </w:r>
    </w:p>
    <w:p w14:paraId="7DED0ABF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в разделе "Расходы (платежи) клиента/партнера банка по активу, несущему </w:t>
      </w:r>
      <w:r>
        <w:rPr>
          <w:rFonts w:ascii="Arial" w:hAnsi="Arial" w:cs="Arial"/>
          <w:color w:val="000000"/>
        </w:rPr>
        <w:t>кредитный риск" Перечня прав, расходов (платежей) клиентов/партнеров банка и штрафных санкций абзац третий изложить в следующей редакции:</w:t>
      </w:r>
    </w:p>
    <w:p w14:paraId="09C23B4C" w14:textId="77777777" w:rsidR="00C01E6F" w:rsidRDefault="00C01E6F">
      <w:pPr>
        <w:spacing w:after="60" w:line="276" w:lineRule="auto"/>
        <w:jc w:val="both"/>
      </w:pPr>
      <w:r>
        <w:rPr>
          <w:rFonts w:ascii="Arial" w:hAnsi="Arial" w:cs="Arial"/>
          <w:color w:val="000000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4"/>
        <w:gridCol w:w="6531"/>
      </w:tblGrid>
      <w:tr w:rsidR="00000000" w14:paraId="1D57A87D" w14:textId="77777777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9A76" w14:textId="77777777" w:rsidR="00C01E6F" w:rsidRDefault="00C01E6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Расходы (платежи) клиента/партнера банка по активу, несущему кредитный риск</w:t>
            </w:r>
          </w:p>
        </w:tc>
      </w:tr>
      <w:tr w:rsidR="00000000" w14:paraId="1B9F48CF" w14:textId="77777777">
        <w:tc>
          <w:tcPr>
            <w:tcW w:w="1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7948F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Платежи в пользу третьих лиц (плата за услуги страхования, нотариуса и др.)</w:t>
            </w:r>
          </w:p>
        </w:tc>
        <w:tc>
          <w:tcPr>
            <w:tcW w:w="3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00ED" w14:textId="77777777" w:rsidR="00C01E6F" w:rsidRDefault="00C01E6F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Указываются в случаях, если данные услуги предоставляются банком. В тех случаях, когда банк не предоставляет такие услуги, банк указывает приблизительную стоимость (диапазон) таких расходов на дату заключения договора.</w:t>
            </w:r>
          </w:p>
        </w:tc>
      </w:tr>
    </w:tbl>
    <w:p w14:paraId="48B8F654" w14:textId="77777777" w:rsidR="00C01E6F" w:rsidRDefault="00C01E6F">
      <w:pPr>
        <w:spacing w:after="60" w:line="276" w:lineRule="auto"/>
        <w:ind w:firstLine="567"/>
        <w:jc w:val="right"/>
      </w:pPr>
      <w:r>
        <w:rPr>
          <w:rFonts w:ascii="Arial" w:hAnsi="Arial" w:cs="Arial"/>
          <w:color w:val="000000"/>
        </w:rPr>
        <w:t>";</w:t>
      </w:r>
    </w:p>
    <w:p w14:paraId="7ACED924" w14:textId="77777777" w:rsidR="00C01E6F" w:rsidRDefault="00C01E6F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слова "(ФИО Специалиста по финансированию банка)" заменить словами "(ФИО уполномоченного сотрудника банка)".</w:t>
      </w:r>
    </w:p>
    <w:p w14:paraId="6C6D381B" w14:textId="77777777" w:rsidR="00C01E6F" w:rsidRDefault="00C01E6F">
      <w:pPr>
        <w:spacing w:after="60" w:line="276" w:lineRule="auto"/>
        <w:ind w:firstLine="567"/>
        <w:jc w:val="both"/>
      </w:pPr>
      <w:r>
        <w:t> </w:t>
      </w:r>
    </w:p>
    <w:p w14:paraId="350E51BB" w14:textId="77777777" w:rsidR="00C01E6F" w:rsidRDefault="00C01E6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6F"/>
    <w:rsid w:val="00C0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D0E2A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15" TargetMode="External"/><Relationship Id="rId13" Type="http://schemas.openxmlformats.org/officeDocument/2006/relationships/hyperlink" Target="https://cbd.minjust.gov.kg/302787" TargetMode="External"/><Relationship Id="rId18" Type="http://schemas.openxmlformats.org/officeDocument/2006/relationships/hyperlink" Target="toktom://db/12077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oktom://db/120772" TargetMode="Externa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2787" TargetMode="External"/><Relationship Id="rId17" Type="http://schemas.openxmlformats.org/officeDocument/2006/relationships/hyperlink" Target="https://cbd.minjust.gov.kg/31389" TargetMode="External"/><Relationship Id="rId2" Type="http://schemas.openxmlformats.org/officeDocument/2006/relationships/settings" Target="settings.xml"/><Relationship Id="rId16" Type="http://schemas.openxmlformats.org/officeDocument/2006/relationships/hyperlink" Target="toktom://db/50234" TargetMode="External"/><Relationship Id="rId20" Type="http://schemas.openxmlformats.org/officeDocument/2006/relationships/hyperlink" Target="toktom://db/12077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2788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toktom://db/12077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bd.minjust.gov.kg/302787" TargetMode="External"/><Relationship Id="rId19" Type="http://schemas.openxmlformats.org/officeDocument/2006/relationships/hyperlink" Target="toktom://db/12077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788" TargetMode="External"/><Relationship Id="rId14" Type="http://schemas.openxmlformats.org/officeDocument/2006/relationships/hyperlink" Target="https://cbd.minjust.gov.kg/30278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4053</Words>
  <Characters>23105</Characters>
  <Application>Microsoft Office Word</Application>
  <DocSecurity>0</DocSecurity>
  <Lines>192</Lines>
  <Paragraphs>54</Paragraphs>
  <ScaleCrop>false</ScaleCrop>
  <Company/>
  <LinksUpToDate>false</LinksUpToDate>
  <CharactersWithSpaces>27104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