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978F0" w14:textId="77777777" w:rsidR="00C304C1" w:rsidRDefault="00C304C1">
      <w:pPr>
        <w:spacing w:after="480"/>
        <w:jc w:val="center"/>
      </w:pPr>
      <w:r>
        <w:rPr>
          <w:rFonts w:ascii="Arial" w:hAnsi="Arial" w:cs="Arial"/>
          <w:b/>
          <w:bCs/>
          <w:noProof/>
          <w:sz w:val="32"/>
          <w:szCs w:val="32"/>
        </w:rPr>
        <w:drawing>
          <wp:inline distT="0" distB="0" distL="0" distR="0" wp14:anchorId="2F9F92D1" wp14:editId="17D01912">
            <wp:extent cx="1152525" cy="1152525"/>
            <wp:effectExtent l="0" t="0" r="9525" b="9525"/>
            <wp:docPr id="1" name="Рисунок 3" descr="Описание: Описание: C:\Users\User\AppData\Local\Temp\LSoft\CdbSearchClient\a36e33b5-b32d-49e7-8b61-e1d2a28a718d\document.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Описание: C:\Users\User\AppData\Local\Temp\LSoft\CdbSearchClient\a36e33b5-b32d-49e7-8b61-e1d2a28a718d\document.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p w14:paraId="69C15BC3" w14:textId="77777777" w:rsidR="00C304C1" w:rsidRDefault="00C304C1">
      <w:pPr>
        <w:spacing w:after="480"/>
        <w:jc w:val="center"/>
      </w:pPr>
      <w:r>
        <w:rPr>
          <w:rFonts w:ascii="Arial" w:hAnsi="Arial" w:cs="Arial"/>
          <w:b/>
          <w:bCs/>
          <w:sz w:val="32"/>
          <w:szCs w:val="32"/>
        </w:rPr>
        <w:t>НАЦИОНАЛЬНЫЙ БАНК КЫРГЫЗСКОЙ РЕСПУБЛИКИ</w:t>
      </w:r>
    </w:p>
    <w:p w14:paraId="39EA3A1B" w14:textId="77777777" w:rsidR="00C304C1" w:rsidRDefault="00C304C1">
      <w:pPr>
        <w:spacing w:after="480"/>
        <w:jc w:val="center"/>
      </w:pPr>
      <w:r>
        <w:rPr>
          <w:rFonts w:ascii="Arial" w:hAnsi="Arial" w:cs="Arial"/>
          <w:b/>
          <w:bCs/>
          <w:sz w:val="32"/>
          <w:szCs w:val="32"/>
        </w:rPr>
        <w:t>ПОСТАНОВЛЕНИЕ</w:t>
      </w:r>
    </w:p>
    <w:p w14:paraId="69C3F7B8" w14:textId="77777777" w:rsidR="00C304C1" w:rsidRDefault="00C304C1">
      <w:pPr>
        <w:spacing w:after="240"/>
      </w:pPr>
      <w:r>
        <w:rPr>
          <w:rFonts w:ascii="Arial" w:hAnsi="Arial" w:cs="Arial"/>
        </w:rPr>
        <w:t>от 28 октября 2015 года № 64/5</w:t>
      </w:r>
    </w:p>
    <w:p w14:paraId="1E034CD9" w14:textId="77777777" w:rsidR="00C304C1" w:rsidRDefault="00C304C1">
      <w:pPr>
        <w:pStyle w:val="tkNazvanie"/>
      </w:pPr>
      <w:r>
        <w:rPr>
          <w:sz w:val="28"/>
          <w:szCs w:val="28"/>
        </w:rPr>
        <w:t>О внесении изменений и дополнений в некоторые постановления Правления Национального банка Кыргызской Республики</w:t>
      </w:r>
    </w:p>
    <w:p w14:paraId="7FA7F619" w14:textId="77777777" w:rsidR="00C304C1" w:rsidRDefault="00C304C1">
      <w:pPr>
        <w:pStyle w:val="tkTekst"/>
      </w:pPr>
      <w:r>
        <w:rPr>
          <w:sz w:val="24"/>
          <w:szCs w:val="24"/>
        </w:rPr>
        <w:t xml:space="preserve">Руководствуясь </w:t>
      </w:r>
      <w:hyperlink r:id="rId5" w:anchor="st_43" w:history="1">
        <w:r>
          <w:rPr>
            <w:rStyle w:val="a3"/>
            <w:sz w:val="24"/>
            <w:szCs w:val="24"/>
          </w:rPr>
          <w:t>статьей 43</w:t>
        </w:r>
      </w:hyperlink>
      <w:r>
        <w:rPr>
          <w:sz w:val="24"/>
          <w:szCs w:val="24"/>
        </w:rPr>
        <w:t xml:space="preserve"> Закона "О Национальном банке Кыргызской Республики", </w:t>
      </w:r>
      <w:r>
        <w:rPr>
          <w:color w:val="000000"/>
          <w:sz w:val="24"/>
          <w:szCs w:val="24"/>
        </w:rPr>
        <w:t xml:space="preserve">статьями </w:t>
      </w:r>
      <w:hyperlink r:id="rId6" w:anchor="st_11" w:history="1">
        <w:r>
          <w:rPr>
            <w:rStyle w:val="a3"/>
            <w:sz w:val="24"/>
            <w:szCs w:val="24"/>
          </w:rPr>
          <w:t>11</w:t>
        </w:r>
      </w:hyperlink>
      <w:r>
        <w:rPr>
          <w:color w:val="000000"/>
          <w:sz w:val="24"/>
          <w:szCs w:val="24"/>
        </w:rPr>
        <w:t xml:space="preserve"> и </w:t>
      </w:r>
      <w:hyperlink r:id="rId7" w:anchor="st_39-1" w:history="1">
        <w:r>
          <w:rPr>
            <w:rStyle w:val="a3"/>
            <w:sz w:val="24"/>
            <w:szCs w:val="24"/>
          </w:rPr>
          <w:t>39-1</w:t>
        </w:r>
      </w:hyperlink>
      <w:r>
        <w:rPr>
          <w:color w:val="000000"/>
          <w:sz w:val="24"/>
          <w:szCs w:val="24"/>
        </w:rPr>
        <w:t xml:space="preserve"> Закона </w:t>
      </w:r>
      <w:r>
        <w:rPr>
          <w:sz w:val="24"/>
          <w:szCs w:val="24"/>
        </w:rPr>
        <w:t xml:space="preserve">"О банках и банковской деятельности в Кыргызской Республике", Правление Национального банка Кыргызской Республики </w:t>
      </w:r>
    </w:p>
    <w:p w14:paraId="6999120B" w14:textId="77777777" w:rsidR="00C304C1" w:rsidRDefault="00C304C1">
      <w:pPr>
        <w:pStyle w:val="tkTekst"/>
        <w:jc w:val="center"/>
      </w:pPr>
      <w:r>
        <w:rPr>
          <w:sz w:val="24"/>
          <w:szCs w:val="24"/>
        </w:rPr>
        <w:t>ПОСТАНОВЛЯЕТ:</w:t>
      </w:r>
    </w:p>
    <w:p w14:paraId="30561EAB" w14:textId="77777777" w:rsidR="00C304C1" w:rsidRDefault="00C304C1">
      <w:pPr>
        <w:pStyle w:val="tkTekst"/>
      </w:pPr>
      <w:r>
        <w:rPr>
          <w:sz w:val="24"/>
          <w:szCs w:val="24"/>
        </w:rPr>
        <w:t xml:space="preserve">1. Внести </w:t>
      </w:r>
      <w:hyperlink r:id="rId8" w:anchor="p1" w:history="1">
        <w:r>
          <w:rPr>
            <w:rStyle w:val="a3"/>
            <w:sz w:val="24"/>
            <w:szCs w:val="24"/>
          </w:rPr>
          <w:t>изменения и дополнения</w:t>
        </w:r>
      </w:hyperlink>
      <w:r>
        <w:rPr>
          <w:sz w:val="24"/>
          <w:szCs w:val="24"/>
        </w:rPr>
        <w:t xml:space="preserve"> в следующие постановления Правления Национального банка Кыргызской Республики (прилагаются):</w:t>
      </w:r>
    </w:p>
    <w:p w14:paraId="72E34475" w14:textId="77777777" w:rsidR="00C304C1" w:rsidRDefault="00C304C1">
      <w:pPr>
        <w:pStyle w:val="tkTekst"/>
      </w:pPr>
      <w:r>
        <w:rPr>
          <w:sz w:val="24"/>
          <w:szCs w:val="24"/>
        </w:rPr>
        <w:t xml:space="preserve">- Об утверждении </w:t>
      </w:r>
      <w:hyperlink r:id="rId9" w:history="1">
        <w:r>
          <w:rPr>
            <w:rStyle w:val="a3"/>
            <w:sz w:val="24"/>
            <w:szCs w:val="24"/>
          </w:rPr>
          <w:t>Положения</w:t>
        </w:r>
      </w:hyperlink>
      <w:r>
        <w:rPr>
          <w:sz w:val="24"/>
          <w:szCs w:val="24"/>
        </w:rPr>
        <w:t xml:space="preserve"> "Об отдельных сделках/операциях коммерческих банков и микрофинансовых компаний Кыргызской Республики с недвижимостью" </w:t>
      </w:r>
      <w:hyperlink r:id="rId10" w:history="1">
        <w:r>
          <w:rPr>
            <w:rStyle w:val="a3"/>
            <w:sz w:val="24"/>
            <w:szCs w:val="24"/>
          </w:rPr>
          <w:t>от 29 августа 2012 года № 36/2</w:t>
        </w:r>
      </w:hyperlink>
      <w:r>
        <w:rPr>
          <w:sz w:val="24"/>
          <w:szCs w:val="24"/>
        </w:rPr>
        <w:t>;</w:t>
      </w:r>
    </w:p>
    <w:p w14:paraId="13C64181" w14:textId="77777777" w:rsidR="00C304C1" w:rsidRDefault="00C304C1">
      <w:pPr>
        <w:pStyle w:val="tkTekst"/>
      </w:pPr>
      <w:r>
        <w:rPr>
          <w:sz w:val="24"/>
          <w:szCs w:val="24"/>
        </w:rPr>
        <w:t>- Об утверждении "</w:t>
      </w:r>
      <w:hyperlink r:id="rId11" w:history="1">
        <w:r>
          <w:rPr>
            <w:rStyle w:val="a3"/>
            <w:sz w:val="24"/>
            <w:szCs w:val="24"/>
          </w:rPr>
          <w:t>Порядка</w:t>
        </w:r>
      </w:hyperlink>
      <w:r>
        <w:rPr>
          <w:sz w:val="24"/>
          <w:szCs w:val="24"/>
        </w:rPr>
        <w:t xml:space="preserve"> работы коммерческих банков и других финансово-кредитных учреждений, лицензируемых и регулируемых Национальным банком Кыргызской Республики с залоговым имуществом" </w:t>
      </w:r>
      <w:hyperlink r:id="rId12" w:history="1">
        <w:r>
          <w:rPr>
            <w:rStyle w:val="a3"/>
            <w:sz w:val="24"/>
            <w:szCs w:val="24"/>
          </w:rPr>
          <w:t>от 4 июля 2012 года № 28/7</w:t>
        </w:r>
      </w:hyperlink>
      <w:r>
        <w:rPr>
          <w:sz w:val="24"/>
          <w:szCs w:val="24"/>
        </w:rPr>
        <w:t>;</w:t>
      </w:r>
    </w:p>
    <w:p w14:paraId="37CBB53A" w14:textId="77777777" w:rsidR="00C304C1" w:rsidRDefault="00C304C1">
      <w:pPr>
        <w:pStyle w:val="tkTekst"/>
      </w:pPr>
      <w:r>
        <w:rPr>
          <w:sz w:val="24"/>
          <w:szCs w:val="24"/>
        </w:rPr>
        <w:t xml:space="preserve">- Об утверждении новой редакции </w:t>
      </w:r>
      <w:hyperlink r:id="rId13" w:history="1">
        <w:r>
          <w:rPr>
            <w:rStyle w:val="a3"/>
            <w:sz w:val="24"/>
            <w:szCs w:val="24"/>
          </w:rPr>
          <w:t>Положения</w:t>
        </w:r>
      </w:hyperlink>
      <w:r>
        <w:rPr>
          <w:sz w:val="24"/>
          <w:szCs w:val="24"/>
        </w:rPr>
        <w:t xml:space="preserve"> "О классификации активов и соответствующих отчислениях в резерв на покрытие потенциальных потерь и убытков</w:t>
      </w:r>
      <w:hyperlink r:id="rId14" w:history="1">
        <w:r>
          <w:rPr>
            <w:rStyle w:val="a3"/>
            <w:sz w:val="24"/>
            <w:szCs w:val="24"/>
          </w:rPr>
          <w:t>" от 21 июля 2004 года № 18/3</w:t>
        </w:r>
      </w:hyperlink>
      <w:r>
        <w:rPr>
          <w:sz w:val="24"/>
          <w:szCs w:val="24"/>
        </w:rPr>
        <w:t>.</w:t>
      </w:r>
    </w:p>
    <w:p w14:paraId="1CF430DD" w14:textId="77777777" w:rsidR="00C304C1" w:rsidRDefault="00C304C1">
      <w:pPr>
        <w:pStyle w:val="tkTekst"/>
      </w:pPr>
      <w:r>
        <w:rPr>
          <w:sz w:val="24"/>
          <w:szCs w:val="24"/>
        </w:rPr>
        <w:t>2. Настоящее постановление вступает в силу по истечении пятнадцати дней со дня официального опубликования.</w:t>
      </w:r>
    </w:p>
    <w:p w14:paraId="5F034A00" w14:textId="77777777" w:rsidR="00C304C1" w:rsidRDefault="00C304C1">
      <w:pPr>
        <w:pStyle w:val="tkTekst"/>
      </w:pPr>
      <w:r>
        <w:rPr>
          <w:sz w:val="24"/>
          <w:szCs w:val="24"/>
        </w:rPr>
        <w:t>3. Юридическому управлению:</w:t>
      </w:r>
    </w:p>
    <w:p w14:paraId="1C3AD94A" w14:textId="77777777" w:rsidR="00C304C1" w:rsidRDefault="00C304C1">
      <w:pPr>
        <w:pStyle w:val="tkTekst"/>
      </w:pPr>
      <w:r>
        <w:rPr>
          <w:sz w:val="24"/>
          <w:szCs w:val="24"/>
        </w:rPr>
        <w:t>- опубликовать настоящее постановление на официальном сайте Национального банка Кыргызской Республики;</w:t>
      </w:r>
    </w:p>
    <w:p w14:paraId="18AEA5F4" w14:textId="77777777" w:rsidR="00C304C1" w:rsidRDefault="00C304C1">
      <w:pPr>
        <w:pStyle w:val="tkTekst"/>
      </w:pPr>
      <w:r>
        <w:rPr>
          <w:sz w:val="24"/>
          <w:szCs w:val="24"/>
        </w:rPr>
        <w:t>-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14:paraId="7F2152B6" w14:textId="77777777" w:rsidR="00C304C1" w:rsidRDefault="00C304C1">
      <w:pPr>
        <w:pStyle w:val="tkTekst"/>
      </w:pPr>
      <w:r>
        <w:rPr>
          <w:sz w:val="24"/>
          <w:szCs w:val="24"/>
        </w:rPr>
        <w:t>4. Управлению методологии надзора и лицензирования довести настоящее постановление до сведения коммерческих банков, специализированного финансово-кредитного учреждения ОАО "Финансовая компания кредитных союзов", Государственного банка развития Кыргызской Республики, микрофинансовых организаций, кредитных союзов.</w:t>
      </w:r>
    </w:p>
    <w:p w14:paraId="3C6EFE7D" w14:textId="77777777" w:rsidR="00C304C1" w:rsidRDefault="00C304C1">
      <w:pPr>
        <w:pStyle w:val="tkTekst"/>
      </w:pPr>
      <w:r>
        <w:rPr>
          <w:sz w:val="24"/>
          <w:szCs w:val="24"/>
        </w:rPr>
        <w:t>5. Контроль за исполнением настоящего постановления возложить на заместителя Председателя Национального банка Кыргызской Республики Л.Орозбаеву.</w:t>
      </w:r>
    </w:p>
    <w:p w14:paraId="0925CA52" w14:textId="77777777" w:rsidR="00C304C1" w:rsidRDefault="00C304C1">
      <w:pPr>
        <w:spacing w:after="120"/>
        <w:ind w:firstLine="397"/>
        <w:jc w:val="both"/>
      </w:pPr>
      <w:r>
        <w:t> </w:t>
      </w:r>
    </w:p>
    <w:tbl>
      <w:tblPr>
        <w:tblW w:w="5000" w:type="pct"/>
        <w:tblCellMar>
          <w:left w:w="0" w:type="dxa"/>
          <w:right w:w="0" w:type="dxa"/>
        </w:tblCellMar>
        <w:tblLook w:val="04A0" w:firstRow="1" w:lastRow="0" w:firstColumn="1" w:lastColumn="0" w:noHBand="0" w:noVBand="1"/>
      </w:tblPr>
      <w:tblGrid>
        <w:gridCol w:w="4677"/>
        <w:gridCol w:w="4678"/>
      </w:tblGrid>
      <w:tr w:rsidR="00000000" w14:paraId="6395B606" w14:textId="77777777">
        <w:tc>
          <w:tcPr>
            <w:tcW w:w="2500" w:type="pct"/>
            <w:tcMar>
              <w:top w:w="0" w:type="dxa"/>
              <w:left w:w="108" w:type="dxa"/>
              <w:bottom w:w="0" w:type="dxa"/>
              <w:right w:w="108" w:type="dxa"/>
            </w:tcMar>
            <w:hideMark/>
          </w:tcPr>
          <w:p w14:paraId="09CF5527" w14:textId="77777777" w:rsidR="00C304C1" w:rsidRDefault="00C304C1">
            <w:r>
              <w:rPr>
                <w:rFonts w:ascii="Arial" w:hAnsi="Arial" w:cs="Arial"/>
                <w:b/>
                <w:bCs/>
              </w:rPr>
              <w:t>Председатель</w:t>
            </w:r>
          </w:p>
        </w:tc>
        <w:tc>
          <w:tcPr>
            <w:tcW w:w="2500" w:type="pct"/>
            <w:tcMar>
              <w:top w:w="0" w:type="dxa"/>
              <w:left w:w="108" w:type="dxa"/>
              <w:bottom w:w="0" w:type="dxa"/>
              <w:right w:w="108" w:type="dxa"/>
            </w:tcMar>
            <w:hideMark/>
          </w:tcPr>
          <w:p w14:paraId="720276D5" w14:textId="77777777" w:rsidR="00C304C1" w:rsidRDefault="00C304C1">
            <w:pPr>
              <w:jc w:val="right"/>
            </w:pPr>
            <w:r>
              <w:rPr>
                <w:rFonts w:ascii="Arial" w:hAnsi="Arial" w:cs="Arial"/>
                <w:b/>
                <w:bCs/>
              </w:rPr>
              <w:t>Т. Абдыгулов</w:t>
            </w:r>
          </w:p>
        </w:tc>
      </w:tr>
    </w:tbl>
    <w:p w14:paraId="0174ECB5" w14:textId="77777777" w:rsidR="00C304C1" w:rsidRDefault="00C304C1">
      <w:r>
        <w:t> </w:t>
      </w:r>
    </w:p>
    <w:p w14:paraId="7DA99E23" w14:textId="77777777" w:rsidR="00C304C1" w:rsidRDefault="00C304C1">
      <w:pPr>
        <w:pStyle w:val="tkTekst"/>
        <w:jc w:val="right"/>
      </w:pPr>
      <w:bookmarkStart w:id="0" w:name="p1"/>
      <w:bookmarkEnd w:id="0"/>
      <w:r>
        <w:rPr>
          <w:sz w:val="24"/>
          <w:szCs w:val="24"/>
        </w:rPr>
        <w:t>Приложение</w:t>
      </w:r>
    </w:p>
    <w:p w14:paraId="6F24A25E" w14:textId="77777777" w:rsidR="00C304C1" w:rsidRDefault="00C304C1">
      <w:pPr>
        <w:pStyle w:val="tkNazvanie"/>
      </w:pPr>
      <w:r>
        <w:rPr>
          <w:color w:val="000000"/>
        </w:rPr>
        <w:t>ИЗМЕНЕНИЯ И ДОПОЛНЕНИЯ</w:t>
      </w:r>
      <w:r>
        <w:rPr>
          <w:color w:val="000000"/>
        </w:rPr>
        <w:br/>
        <w:t>в некоторые постановления Правления Национального банка Кыргызской Республики</w:t>
      </w:r>
    </w:p>
    <w:p w14:paraId="6B75ED0D" w14:textId="77777777" w:rsidR="00C304C1" w:rsidRDefault="00C304C1">
      <w:pPr>
        <w:pStyle w:val="tkTekst"/>
      </w:pPr>
      <w:r>
        <w:rPr>
          <w:color w:val="000000"/>
          <w:sz w:val="24"/>
          <w:szCs w:val="24"/>
        </w:rPr>
        <w:t xml:space="preserve">1. Внести в </w:t>
      </w:r>
      <w:hyperlink r:id="rId15" w:history="1">
        <w:r>
          <w:rPr>
            <w:rStyle w:val="a3"/>
            <w:sz w:val="24"/>
            <w:szCs w:val="24"/>
          </w:rPr>
          <w:t>постановление</w:t>
        </w:r>
      </w:hyperlink>
      <w:r>
        <w:rPr>
          <w:color w:val="000000"/>
          <w:sz w:val="24"/>
          <w:szCs w:val="24"/>
        </w:rPr>
        <w:t xml:space="preserve"> Правления Национального банка Кыргызской Республики "Об утверждении </w:t>
      </w:r>
      <w:hyperlink r:id="rId16" w:history="1">
        <w:r>
          <w:rPr>
            <w:rStyle w:val="a3"/>
            <w:color w:val="000000"/>
            <w:sz w:val="24"/>
            <w:szCs w:val="24"/>
            <w:u w:val="none"/>
          </w:rPr>
          <w:t>Положения</w:t>
        </w:r>
      </w:hyperlink>
      <w:r>
        <w:rPr>
          <w:color w:val="000000"/>
          <w:sz w:val="24"/>
          <w:szCs w:val="24"/>
        </w:rPr>
        <w:t xml:space="preserve"> "Об отдельных сделках/операциях коммерческих банков и микрофинансовых компаний Кыргызской Республики с недвижимостью" от 29 августа 2012 года № 36/2, следующие изменения и дополнения:</w:t>
      </w:r>
    </w:p>
    <w:p w14:paraId="26140422" w14:textId="77777777" w:rsidR="00C304C1" w:rsidRDefault="00C304C1">
      <w:pPr>
        <w:pStyle w:val="tkTekst"/>
      </w:pPr>
      <w:r>
        <w:rPr>
          <w:color w:val="000000"/>
          <w:sz w:val="24"/>
          <w:szCs w:val="24"/>
        </w:rPr>
        <w:t xml:space="preserve">в </w:t>
      </w:r>
      <w:hyperlink r:id="rId17" w:history="1">
        <w:r>
          <w:rPr>
            <w:rStyle w:val="a3"/>
            <w:color w:val="000000"/>
            <w:sz w:val="24"/>
            <w:szCs w:val="24"/>
            <w:u w:val="none"/>
          </w:rPr>
          <w:t>Положении</w:t>
        </w:r>
      </w:hyperlink>
      <w:r>
        <w:rPr>
          <w:color w:val="000000"/>
          <w:sz w:val="24"/>
          <w:szCs w:val="24"/>
        </w:rPr>
        <w:t xml:space="preserve"> "Об отдельных </w:t>
      </w:r>
      <w:r>
        <w:rPr>
          <w:color w:val="000000"/>
          <w:sz w:val="24"/>
          <w:szCs w:val="24"/>
        </w:rPr>
        <w:t xml:space="preserve">сделках/операциях коммерческих банков и микрофинансовых компаний Кыргызской Республики с недвижимостью", утвержденном вышеуказанным </w:t>
      </w:r>
      <w:hyperlink r:id="rId18" w:history="1">
        <w:r>
          <w:rPr>
            <w:rStyle w:val="a3"/>
            <w:color w:val="000000"/>
            <w:sz w:val="24"/>
            <w:szCs w:val="24"/>
            <w:u w:val="none"/>
          </w:rPr>
          <w:t>постановлением</w:t>
        </w:r>
      </w:hyperlink>
      <w:r>
        <w:rPr>
          <w:color w:val="000000"/>
          <w:sz w:val="24"/>
          <w:szCs w:val="24"/>
        </w:rPr>
        <w:t>:</w:t>
      </w:r>
    </w:p>
    <w:p w14:paraId="68EF624B" w14:textId="77777777" w:rsidR="00C304C1" w:rsidRDefault="00C304C1">
      <w:pPr>
        <w:pStyle w:val="tkTekst"/>
      </w:pPr>
      <w:r>
        <w:rPr>
          <w:color w:val="000000"/>
          <w:sz w:val="24"/>
          <w:szCs w:val="24"/>
        </w:rPr>
        <w:t>- в пункте 3:</w:t>
      </w:r>
    </w:p>
    <w:p w14:paraId="429ABE33" w14:textId="77777777" w:rsidR="00C304C1" w:rsidRDefault="00C304C1">
      <w:pPr>
        <w:pStyle w:val="tkTekst"/>
      </w:pPr>
      <w:r>
        <w:rPr>
          <w:color w:val="000000"/>
          <w:sz w:val="24"/>
          <w:szCs w:val="24"/>
        </w:rPr>
        <w:t>в подпункте а) слово "отчуждения" исключить;</w:t>
      </w:r>
    </w:p>
    <w:p w14:paraId="457F7408" w14:textId="77777777" w:rsidR="00C304C1" w:rsidRDefault="00C304C1">
      <w:pPr>
        <w:pStyle w:val="tkTekst"/>
      </w:pPr>
      <w:r>
        <w:rPr>
          <w:color w:val="000000"/>
          <w:sz w:val="24"/>
          <w:szCs w:val="24"/>
        </w:rPr>
        <w:t>подпункт б) дополнить словами ", при этом амортизация таких активов должна быть прекращена.";</w:t>
      </w:r>
    </w:p>
    <w:p w14:paraId="45933803" w14:textId="77777777" w:rsidR="00C304C1" w:rsidRDefault="00C304C1">
      <w:pPr>
        <w:pStyle w:val="tkTekst"/>
      </w:pPr>
      <w:r>
        <w:rPr>
          <w:color w:val="000000"/>
          <w:sz w:val="24"/>
          <w:szCs w:val="24"/>
        </w:rPr>
        <w:t>абзац 7 дополнить предложением следующего содержания:</w:t>
      </w:r>
    </w:p>
    <w:p w14:paraId="3BD8B484" w14:textId="77777777" w:rsidR="00C304C1" w:rsidRDefault="00C304C1">
      <w:pPr>
        <w:pStyle w:val="tkTekst"/>
      </w:pPr>
      <w:r>
        <w:rPr>
          <w:color w:val="000000"/>
          <w:sz w:val="24"/>
          <w:szCs w:val="24"/>
        </w:rPr>
        <w:t>"В случае нереализации имущества на торгах, то справедливой стоимостью считается стоимость, устанавливаемая в порядке, предусмотренном действующим законодательством Кыргызской Республики.";</w:t>
      </w:r>
    </w:p>
    <w:p w14:paraId="0391F53D" w14:textId="77777777" w:rsidR="00C304C1" w:rsidRDefault="00C304C1">
      <w:pPr>
        <w:pStyle w:val="tkTekst"/>
      </w:pPr>
      <w:r>
        <w:rPr>
          <w:color w:val="000000"/>
          <w:sz w:val="24"/>
          <w:szCs w:val="24"/>
        </w:rPr>
        <w:t>- в пункте 5 слова "трех лет" заменить словами "двух лет с момента возникновения права собственности";</w:t>
      </w:r>
    </w:p>
    <w:p w14:paraId="1179CB01" w14:textId="77777777" w:rsidR="00C304C1" w:rsidRDefault="00C304C1">
      <w:pPr>
        <w:pStyle w:val="tkTekst"/>
      </w:pPr>
      <w:r>
        <w:rPr>
          <w:color w:val="000000"/>
          <w:sz w:val="24"/>
          <w:szCs w:val="24"/>
        </w:rPr>
        <w:t>- в подпункте а) пункта 6 после слова "право" дополнить словом "собственности";</w:t>
      </w:r>
    </w:p>
    <w:p w14:paraId="086D8E6D" w14:textId="77777777" w:rsidR="00C304C1" w:rsidRDefault="00C304C1">
      <w:pPr>
        <w:pStyle w:val="tkTekst"/>
      </w:pPr>
      <w:r>
        <w:rPr>
          <w:color w:val="000000"/>
          <w:sz w:val="24"/>
          <w:szCs w:val="24"/>
        </w:rPr>
        <w:t>- подпункт г) пункта 8 дополнить словами ", при их наличии;";</w:t>
      </w:r>
    </w:p>
    <w:p w14:paraId="6DFDB3C0" w14:textId="77777777" w:rsidR="00C304C1" w:rsidRDefault="00C304C1">
      <w:pPr>
        <w:pStyle w:val="tkTekst"/>
      </w:pPr>
      <w:r>
        <w:rPr>
          <w:color w:val="000000"/>
          <w:sz w:val="24"/>
          <w:szCs w:val="24"/>
        </w:rPr>
        <w:t>- первое предложение пункта 11 изложить в следующей редакции:</w:t>
      </w:r>
    </w:p>
    <w:p w14:paraId="38E5C9E2" w14:textId="77777777" w:rsidR="00C304C1" w:rsidRDefault="00C304C1">
      <w:pPr>
        <w:pStyle w:val="tkTekst"/>
      </w:pPr>
      <w:r>
        <w:rPr>
          <w:color w:val="000000"/>
          <w:sz w:val="24"/>
          <w:szCs w:val="24"/>
        </w:rPr>
        <w:t>"Банк имеет право заключать договор аренды (форма договора, при которой недвижимость передается во временное владение и/или временное пользование) прочей недвижимости для покрытия расходов, связанных с ее содержанием, на срок не более срока, указанного в пункте 5 настоящего Положения.";</w:t>
      </w:r>
    </w:p>
    <w:p w14:paraId="627EA3C3" w14:textId="77777777" w:rsidR="00C304C1" w:rsidRDefault="00C304C1">
      <w:pPr>
        <w:pStyle w:val="tkTekst"/>
      </w:pPr>
      <w:r>
        <w:rPr>
          <w:color w:val="000000"/>
          <w:sz w:val="24"/>
          <w:szCs w:val="24"/>
        </w:rPr>
        <w:t>- пункт 12 изложить в следующей редакции:</w:t>
      </w:r>
    </w:p>
    <w:p w14:paraId="2F5D66AD" w14:textId="77777777" w:rsidR="00C304C1" w:rsidRDefault="00C304C1">
      <w:pPr>
        <w:pStyle w:val="tkTekst"/>
      </w:pPr>
      <w:r>
        <w:rPr>
          <w:color w:val="000000"/>
          <w:sz w:val="24"/>
          <w:szCs w:val="24"/>
        </w:rPr>
        <w:t>"12. Дополнительные расходы по улучшению общего состояния прочей недвижимости, которые приведут к возникновению будущих экономических выгод и увеличению ее стоимости, могут быть утверждены только, если действия банка не нацелены на получение прибыли от операций с недвижимостью.";</w:t>
      </w:r>
    </w:p>
    <w:p w14:paraId="2D38D7D6" w14:textId="77777777" w:rsidR="00C304C1" w:rsidRDefault="00C304C1">
      <w:pPr>
        <w:pStyle w:val="tkTekst"/>
      </w:pPr>
      <w:r>
        <w:rPr>
          <w:color w:val="000000"/>
          <w:sz w:val="24"/>
          <w:szCs w:val="24"/>
        </w:rPr>
        <w:t>- пункт 20 изложить в следующей редакции:</w:t>
      </w:r>
    </w:p>
    <w:p w14:paraId="78BCF02D" w14:textId="77777777" w:rsidR="00C304C1" w:rsidRDefault="00C304C1">
      <w:pPr>
        <w:pStyle w:val="tkTekst"/>
      </w:pPr>
      <w:r>
        <w:rPr>
          <w:color w:val="000000"/>
          <w:sz w:val="24"/>
          <w:szCs w:val="24"/>
        </w:rPr>
        <w:t xml:space="preserve">"20. Недвижимость, указанная в подпункте а) пункта 3 настоящего </w:t>
      </w:r>
      <w:hyperlink r:id="rId19" w:history="1">
        <w:r>
          <w:rPr>
            <w:rStyle w:val="a3"/>
            <w:color w:val="000000"/>
            <w:sz w:val="24"/>
            <w:szCs w:val="24"/>
            <w:u w:val="none"/>
          </w:rPr>
          <w:t>Положения</w:t>
        </w:r>
      </w:hyperlink>
      <w:r>
        <w:rPr>
          <w:color w:val="000000"/>
          <w:sz w:val="24"/>
          <w:szCs w:val="24"/>
        </w:rPr>
        <w:t xml:space="preserve">, при принятии в категорию "Прочая собственность" в рамках внесудебного порядка обращения взыскания на заложенное имущество должна быть признана на балансе по справедливой стоимости имущества (за исключением принятия недвижимости на баланс в результате несостоявшихся публичных торгов) за вычетом ориентировочных расходов по продаже недвижимости на дату принятия в категорию "Прочая собственность" в соответствии с </w:t>
      </w:r>
      <w:hyperlink r:id="rId20" w:anchor="r5" w:history="1">
        <w:r>
          <w:rPr>
            <w:rStyle w:val="a3"/>
            <w:color w:val="000000"/>
            <w:sz w:val="24"/>
            <w:szCs w:val="24"/>
            <w:u w:val="none"/>
          </w:rPr>
          <w:t>разделом 5</w:t>
        </w:r>
      </w:hyperlink>
      <w:r>
        <w:rPr>
          <w:color w:val="000000"/>
          <w:sz w:val="24"/>
          <w:szCs w:val="24"/>
        </w:rPr>
        <w:t xml:space="preserve"> данного Положения.";</w:t>
      </w:r>
    </w:p>
    <w:p w14:paraId="0356DA79" w14:textId="77777777" w:rsidR="00C304C1" w:rsidRDefault="00C304C1">
      <w:pPr>
        <w:pStyle w:val="tkTekst"/>
      </w:pPr>
      <w:r>
        <w:rPr>
          <w:color w:val="000000"/>
          <w:sz w:val="24"/>
          <w:szCs w:val="24"/>
        </w:rPr>
        <w:t>- пункт 22 изложить в следующей редакции:</w:t>
      </w:r>
    </w:p>
    <w:p w14:paraId="36080BA1" w14:textId="77777777" w:rsidR="00C304C1" w:rsidRDefault="00C304C1">
      <w:pPr>
        <w:pStyle w:val="tkTekst"/>
      </w:pPr>
      <w:r>
        <w:rPr>
          <w:color w:val="000000"/>
          <w:sz w:val="24"/>
          <w:szCs w:val="24"/>
        </w:rPr>
        <w:t>"22. В рамках внесудебного порядка взыскания заложенного имущества превышение суммы, по которой принимается недвижимость на баланс банка, над задолженностью по кредиту, является обязательством банка по возврату излишков денежных средств залогодателю. Данная разница должна быть выплачена залогодателю при реализации данной недвижимости.";</w:t>
      </w:r>
    </w:p>
    <w:p w14:paraId="6DB2F7C0" w14:textId="77777777" w:rsidR="00C304C1" w:rsidRDefault="00C304C1">
      <w:pPr>
        <w:pStyle w:val="tkTekst"/>
      </w:pPr>
      <w:r>
        <w:rPr>
          <w:color w:val="000000"/>
          <w:sz w:val="24"/>
          <w:szCs w:val="24"/>
        </w:rPr>
        <w:t>- в пункте 23 слово "или" заменить словом "и";</w:t>
      </w:r>
    </w:p>
    <w:p w14:paraId="05D77FE8" w14:textId="77777777" w:rsidR="00C304C1" w:rsidRDefault="00C304C1">
      <w:pPr>
        <w:pStyle w:val="tkTekst"/>
      </w:pPr>
      <w:r>
        <w:rPr>
          <w:color w:val="000000"/>
          <w:sz w:val="24"/>
          <w:szCs w:val="24"/>
        </w:rPr>
        <w:t>- в пункте 27:</w:t>
      </w:r>
    </w:p>
    <w:p w14:paraId="3752A433" w14:textId="77777777" w:rsidR="00C304C1" w:rsidRDefault="00C304C1">
      <w:pPr>
        <w:pStyle w:val="tkTekst"/>
      </w:pPr>
      <w:r>
        <w:rPr>
          <w:color w:val="000000"/>
          <w:sz w:val="24"/>
          <w:szCs w:val="24"/>
        </w:rPr>
        <w:t xml:space="preserve">в абзаце первом слова </w:t>
      </w:r>
      <w:r>
        <w:rPr>
          <w:color w:val="000000"/>
          <w:sz w:val="24"/>
          <w:szCs w:val="24"/>
        </w:rPr>
        <w:t>"взыскания заложенного имущества" заменить словами "обращения взыскания на заложенное имущество";</w:t>
      </w:r>
    </w:p>
    <w:p w14:paraId="787205DA" w14:textId="77777777" w:rsidR="00C304C1" w:rsidRDefault="00C304C1">
      <w:pPr>
        <w:pStyle w:val="tkTekst"/>
      </w:pPr>
      <w:r>
        <w:rPr>
          <w:color w:val="000000"/>
          <w:sz w:val="24"/>
          <w:szCs w:val="24"/>
        </w:rPr>
        <w:t>дополнить пунктом г) следующего содержания:</w:t>
      </w:r>
    </w:p>
    <w:p w14:paraId="4957676B" w14:textId="77777777" w:rsidR="00C304C1" w:rsidRDefault="00C304C1">
      <w:pPr>
        <w:pStyle w:val="tkTekst"/>
      </w:pPr>
      <w:r>
        <w:rPr>
          <w:color w:val="000000"/>
          <w:sz w:val="24"/>
          <w:szCs w:val="24"/>
        </w:rPr>
        <w:t>"г) имеются результаты несостоявшихся публичных торгов.";</w:t>
      </w:r>
    </w:p>
    <w:p w14:paraId="39274B03" w14:textId="77777777" w:rsidR="00C304C1" w:rsidRDefault="00C304C1">
      <w:pPr>
        <w:pStyle w:val="tkTekst"/>
      </w:pPr>
      <w:r>
        <w:rPr>
          <w:color w:val="000000"/>
          <w:sz w:val="24"/>
          <w:szCs w:val="24"/>
        </w:rPr>
        <w:t>- второе предложение пункта 28 исключить;</w:t>
      </w:r>
    </w:p>
    <w:p w14:paraId="33759572" w14:textId="77777777" w:rsidR="00C304C1" w:rsidRDefault="00C304C1">
      <w:pPr>
        <w:pStyle w:val="tkTekst"/>
      </w:pPr>
      <w:r>
        <w:rPr>
          <w:color w:val="000000"/>
          <w:sz w:val="24"/>
          <w:szCs w:val="24"/>
        </w:rPr>
        <w:t>- подпункт в) пункта 31 изложить в следующей редакции:</w:t>
      </w:r>
    </w:p>
    <w:p w14:paraId="40F30AB5" w14:textId="77777777" w:rsidR="00C304C1" w:rsidRDefault="00C304C1">
      <w:pPr>
        <w:pStyle w:val="tkTekst"/>
      </w:pPr>
      <w:r>
        <w:rPr>
          <w:color w:val="000000"/>
          <w:sz w:val="24"/>
          <w:szCs w:val="24"/>
        </w:rPr>
        <w:t xml:space="preserve">"в) банк перевел на покупателя большую часть рисков и вознаграждения, связанных с владением </w:t>
      </w:r>
      <w:r>
        <w:rPr>
          <w:color w:val="000000"/>
          <w:sz w:val="24"/>
          <w:szCs w:val="24"/>
        </w:rPr>
        <w:t>имуществом, то есть передал право пользования и владения имуществом. Степень участия банка во владении имуществом является важным фактором для целей определения операции в качестве "продажи".</w:t>
      </w:r>
    </w:p>
    <w:p w14:paraId="46EEA8DB" w14:textId="77777777" w:rsidR="00C304C1" w:rsidRDefault="00C304C1">
      <w:pPr>
        <w:pStyle w:val="tkTekst"/>
      </w:pPr>
      <w:r>
        <w:rPr>
          <w:color w:val="000000"/>
          <w:sz w:val="24"/>
          <w:szCs w:val="24"/>
        </w:rPr>
        <w:t>При выполнении всех вышеуказанных условий одновременно банк может учитывать актив в балансе как кредит клиенту.";</w:t>
      </w:r>
    </w:p>
    <w:p w14:paraId="4CD0B100" w14:textId="77777777" w:rsidR="00C304C1" w:rsidRDefault="00C304C1">
      <w:pPr>
        <w:pStyle w:val="tkTekst"/>
      </w:pPr>
      <w:r>
        <w:rPr>
          <w:color w:val="000000"/>
          <w:sz w:val="24"/>
          <w:szCs w:val="24"/>
        </w:rPr>
        <w:t>- пункт 37 изложить в следующей редакции:</w:t>
      </w:r>
    </w:p>
    <w:p w14:paraId="7D2325DD" w14:textId="77777777" w:rsidR="00C304C1" w:rsidRDefault="00C304C1">
      <w:pPr>
        <w:pStyle w:val="tkTekst"/>
      </w:pPr>
      <w:r>
        <w:rPr>
          <w:color w:val="000000"/>
          <w:sz w:val="24"/>
          <w:szCs w:val="24"/>
        </w:rPr>
        <w:t xml:space="preserve">"37. Банк вправе сдавать в аренду/субаренду как отдельно стоящие неиспользуемые банковские помещения, так и часть площадей неиспользуемых банковских помещений. При этом банковские помещения, в которых расположен банк и его подразделения должны быть изолированы, соответствовать требованиям технической укрепленности и других установленных требований по технике безопасности эксплуатации нежилых помещений. Банки должны письменно уведомлять Управление внешнего надзора Национального банка о каждом случае сдачи в </w:t>
      </w:r>
      <w:r>
        <w:rPr>
          <w:color w:val="000000"/>
          <w:sz w:val="24"/>
          <w:szCs w:val="24"/>
        </w:rPr>
        <w:t>аренду/субаренду неиспользуемых банковских помещений и/или замены арендаторов с указанием информации об арендаторе/субарендаторе и сроке аренды.".</w:t>
      </w:r>
    </w:p>
    <w:p w14:paraId="48707975" w14:textId="77777777" w:rsidR="00C304C1" w:rsidRDefault="00C304C1">
      <w:pPr>
        <w:pStyle w:val="tkTekst"/>
      </w:pPr>
      <w:r>
        <w:rPr>
          <w:color w:val="000000"/>
          <w:sz w:val="24"/>
          <w:szCs w:val="24"/>
        </w:rPr>
        <w:t xml:space="preserve">2. Внести в </w:t>
      </w:r>
      <w:hyperlink r:id="rId21" w:history="1">
        <w:r>
          <w:rPr>
            <w:rStyle w:val="a3"/>
            <w:color w:val="000000"/>
            <w:sz w:val="24"/>
            <w:szCs w:val="24"/>
            <w:u w:val="none"/>
          </w:rPr>
          <w:t>постановление</w:t>
        </w:r>
      </w:hyperlink>
      <w:r>
        <w:rPr>
          <w:color w:val="000000"/>
          <w:sz w:val="24"/>
          <w:szCs w:val="24"/>
        </w:rPr>
        <w:t xml:space="preserve"> Правления Национального банка Кыргызской Республики "Об утверждении "</w:t>
      </w:r>
      <w:hyperlink r:id="rId22" w:history="1">
        <w:r>
          <w:rPr>
            <w:rStyle w:val="a3"/>
            <w:color w:val="000000"/>
            <w:sz w:val="24"/>
            <w:szCs w:val="24"/>
            <w:u w:val="none"/>
          </w:rPr>
          <w:t>Порядка</w:t>
        </w:r>
      </w:hyperlink>
      <w:r>
        <w:rPr>
          <w:color w:val="000000"/>
          <w:sz w:val="24"/>
          <w:szCs w:val="24"/>
        </w:rPr>
        <w:t xml:space="preserve"> работы коммерческих банков и других финансово-кредитных учреждений, лицензируемых и регулируемых Национальным банком Кыргызской Республики с залоговым имуществом" от 4 июля 2012 года № 28/7 следующие изменения и дополнения:</w:t>
      </w:r>
    </w:p>
    <w:p w14:paraId="1DF0662E" w14:textId="77777777" w:rsidR="00C304C1" w:rsidRDefault="00C304C1">
      <w:pPr>
        <w:pStyle w:val="tkTekst"/>
      </w:pPr>
      <w:r>
        <w:rPr>
          <w:color w:val="000000"/>
          <w:sz w:val="24"/>
          <w:szCs w:val="24"/>
        </w:rPr>
        <w:t xml:space="preserve">в </w:t>
      </w:r>
      <w:hyperlink r:id="rId23" w:history="1">
        <w:r>
          <w:rPr>
            <w:rStyle w:val="a3"/>
            <w:color w:val="000000"/>
            <w:sz w:val="24"/>
            <w:szCs w:val="24"/>
            <w:u w:val="none"/>
          </w:rPr>
          <w:t>Порядке</w:t>
        </w:r>
      </w:hyperlink>
      <w:r>
        <w:rPr>
          <w:color w:val="000000"/>
          <w:sz w:val="24"/>
          <w:szCs w:val="24"/>
        </w:rPr>
        <w:t xml:space="preserve"> работы коммерческих банков и других финансово-кредитных учреждений, лицензируемых и регулируемых Национальным банком Кыргызской Республики с залоговым имуществом, утвержденном вышеуказанным </w:t>
      </w:r>
      <w:hyperlink r:id="rId24" w:history="1">
        <w:r>
          <w:rPr>
            <w:rStyle w:val="a3"/>
            <w:color w:val="000000"/>
            <w:sz w:val="24"/>
            <w:szCs w:val="24"/>
            <w:u w:val="none"/>
          </w:rPr>
          <w:t>постановлением</w:t>
        </w:r>
      </w:hyperlink>
      <w:r>
        <w:rPr>
          <w:color w:val="000000"/>
          <w:sz w:val="24"/>
          <w:szCs w:val="24"/>
        </w:rPr>
        <w:t>:</w:t>
      </w:r>
    </w:p>
    <w:p w14:paraId="2A8CC309" w14:textId="77777777" w:rsidR="00C304C1" w:rsidRDefault="00C304C1">
      <w:pPr>
        <w:pStyle w:val="tkTekst"/>
      </w:pPr>
      <w:r>
        <w:rPr>
          <w:color w:val="000000"/>
          <w:sz w:val="24"/>
          <w:szCs w:val="24"/>
        </w:rPr>
        <w:t>- по всему тексту слово "рыночная" заменить словом "справедливая" в соответствующих падежах;</w:t>
      </w:r>
    </w:p>
    <w:p w14:paraId="7522FF51" w14:textId="77777777" w:rsidR="00C304C1" w:rsidRDefault="00C304C1">
      <w:pPr>
        <w:pStyle w:val="tkTekst"/>
      </w:pPr>
      <w:r>
        <w:rPr>
          <w:color w:val="000000"/>
          <w:sz w:val="24"/>
          <w:szCs w:val="24"/>
        </w:rPr>
        <w:t>- пункт 23 изложить в следующей редакции:</w:t>
      </w:r>
    </w:p>
    <w:p w14:paraId="5AA9B877" w14:textId="77777777" w:rsidR="00C304C1" w:rsidRDefault="00C304C1">
      <w:pPr>
        <w:pStyle w:val="tkTekst"/>
      </w:pPr>
      <w:r>
        <w:rPr>
          <w:color w:val="000000"/>
          <w:sz w:val="24"/>
          <w:szCs w:val="24"/>
        </w:rPr>
        <w:t>"23. Взаимоотношения между банком/ФКУ (залогодержателем) и заемщиком (залогодателем) оформляются договором о залоге, а также при необходимости:</w:t>
      </w:r>
    </w:p>
    <w:p w14:paraId="3C1698C1" w14:textId="77777777" w:rsidR="00C304C1" w:rsidRDefault="00C304C1">
      <w:pPr>
        <w:pStyle w:val="tkTekst"/>
      </w:pPr>
      <w:r>
        <w:rPr>
          <w:color w:val="000000"/>
          <w:sz w:val="24"/>
          <w:szCs w:val="24"/>
        </w:rPr>
        <w:t>- договором о залоге либо соглашением, содержащими условия о порядке обращения взыскания на предмет залога во внесудебном порядке в отношении движимого имущества;</w:t>
      </w:r>
    </w:p>
    <w:p w14:paraId="49EEF0B1" w14:textId="77777777" w:rsidR="00C304C1" w:rsidRDefault="00C304C1">
      <w:pPr>
        <w:pStyle w:val="tkTekst"/>
      </w:pPr>
      <w:r>
        <w:rPr>
          <w:color w:val="000000"/>
          <w:sz w:val="24"/>
          <w:szCs w:val="24"/>
        </w:rPr>
        <w:t>- нотариально удостоверенным соглашением о порядке обращения взыскания на предмет залога во внесудебном порядке в отношении недвижимого имущества, если законодательством Кыргызской Республики и законодательством другой страны по месту нахождения залогового имущества предусмотрен внесудебный порядок обращения взыскания на предмет залога.";</w:t>
      </w:r>
    </w:p>
    <w:p w14:paraId="6E948233" w14:textId="77777777" w:rsidR="00C304C1" w:rsidRDefault="00C304C1">
      <w:pPr>
        <w:pStyle w:val="tkTekst"/>
      </w:pPr>
      <w:r>
        <w:rPr>
          <w:color w:val="000000"/>
          <w:sz w:val="24"/>
          <w:szCs w:val="24"/>
        </w:rPr>
        <w:t xml:space="preserve">- </w:t>
      </w:r>
      <w:hyperlink r:id="rId25" w:history="1">
        <w:r>
          <w:rPr>
            <w:rStyle w:val="a3"/>
            <w:color w:val="000000"/>
            <w:sz w:val="24"/>
            <w:szCs w:val="24"/>
            <w:u w:val="none"/>
          </w:rPr>
          <w:t>Порядок</w:t>
        </w:r>
      </w:hyperlink>
      <w:r>
        <w:rPr>
          <w:color w:val="000000"/>
          <w:sz w:val="24"/>
          <w:szCs w:val="24"/>
        </w:rPr>
        <w:t xml:space="preserve"> дополнить пунктом 23-1. следующего содержания:</w:t>
      </w:r>
    </w:p>
    <w:p w14:paraId="5253DECE" w14:textId="77777777" w:rsidR="00C304C1" w:rsidRDefault="00C304C1">
      <w:pPr>
        <w:pStyle w:val="tkTekst"/>
      </w:pPr>
      <w:r>
        <w:rPr>
          <w:color w:val="000000"/>
          <w:sz w:val="24"/>
          <w:szCs w:val="24"/>
        </w:rPr>
        <w:t xml:space="preserve">"23-1. В соглашении об удовлетворении требований залогодержателя во внесудебном порядке должна быть включена норма, согласно которой предусматривается проведение оценки недвижимости независимым профессиональным оценщиком, после принятия решения о проведении торгов по реализации недвижимости, принятой в счет погашения долга заемщика, но до начала проведения вышеуказанных торгов для определения ее справедливой стоимости, в соответствии с требованиями </w:t>
      </w:r>
      <w:hyperlink r:id="rId26" w:history="1">
        <w:r>
          <w:rPr>
            <w:rStyle w:val="a3"/>
            <w:color w:val="000000"/>
            <w:sz w:val="24"/>
            <w:szCs w:val="24"/>
            <w:u w:val="none"/>
          </w:rPr>
          <w:t>Положения</w:t>
        </w:r>
      </w:hyperlink>
      <w:r>
        <w:rPr>
          <w:color w:val="000000"/>
          <w:sz w:val="24"/>
          <w:szCs w:val="24"/>
        </w:rPr>
        <w:t xml:space="preserve"> "Об отдельных </w:t>
      </w:r>
      <w:r>
        <w:rPr>
          <w:color w:val="000000"/>
          <w:sz w:val="24"/>
          <w:szCs w:val="24"/>
        </w:rPr>
        <w:t xml:space="preserve">сделках/операциях коммерческих банков и микрофинансовых компаний Кыргызской Республики с недвижимостью", утвержденным </w:t>
      </w:r>
      <w:hyperlink r:id="rId27" w:history="1">
        <w:r>
          <w:rPr>
            <w:rStyle w:val="a3"/>
            <w:color w:val="000000"/>
            <w:sz w:val="24"/>
            <w:szCs w:val="24"/>
            <w:u w:val="none"/>
          </w:rPr>
          <w:t>постановлением</w:t>
        </w:r>
      </w:hyperlink>
      <w:r>
        <w:rPr>
          <w:color w:val="000000"/>
          <w:sz w:val="24"/>
          <w:szCs w:val="24"/>
        </w:rPr>
        <w:t xml:space="preserve"> Правления Национального банка от 29.08.2012 года № 36/2.".</w:t>
      </w:r>
    </w:p>
    <w:p w14:paraId="76975D79" w14:textId="77777777" w:rsidR="00C304C1" w:rsidRDefault="00C304C1">
      <w:pPr>
        <w:pStyle w:val="tkTekst"/>
      </w:pPr>
      <w:r>
        <w:rPr>
          <w:color w:val="000000"/>
          <w:sz w:val="24"/>
          <w:szCs w:val="24"/>
        </w:rPr>
        <w:t xml:space="preserve">3. Внести в </w:t>
      </w:r>
      <w:hyperlink r:id="rId28" w:history="1">
        <w:r>
          <w:rPr>
            <w:rStyle w:val="a3"/>
            <w:color w:val="000000"/>
            <w:sz w:val="24"/>
            <w:szCs w:val="24"/>
            <w:u w:val="none"/>
          </w:rPr>
          <w:t>постановление</w:t>
        </w:r>
      </w:hyperlink>
      <w:r>
        <w:rPr>
          <w:color w:val="000000"/>
          <w:sz w:val="24"/>
          <w:szCs w:val="24"/>
        </w:rPr>
        <w:t xml:space="preserve"> Правления Национального банка Кыргызской Республики "Об утверждении новой редакции </w:t>
      </w:r>
      <w:hyperlink r:id="rId29" w:history="1">
        <w:r>
          <w:rPr>
            <w:rStyle w:val="a3"/>
            <w:color w:val="000000"/>
            <w:sz w:val="24"/>
            <w:szCs w:val="24"/>
            <w:u w:val="none"/>
          </w:rPr>
          <w:t>Положения</w:t>
        </w:r>
      </w:hyperlink>
      <w:r>
        <w:rPr>
          <w:color w:val="000000"/>
          <w:sz w:val="24"/>
          <w:szCs w:val="24"/>
        </w:rPr>
        <w:t xml:space="preserve"> "О классификации активов и соответствующих отчислениях в резерв на покрытие потенциальных потерь и убытков" от 21 июля 2004 года № 18/3 следующие изменения:</w:t>
      </w:r>
    </w:p>
    <w:p w14:paraId="27E9E697" w14:textId="77777777" w:rsidR="00C304C1" w:rsidRDefault="00C304C1">
      <w:pPr>
        <w:pStyle w:val="tkTekst"/>
      </w:pPr>
      <w:r>
        <w:rPr>
          <w:color w:val="000000"/>
          <w:sz w:val="24"/>
          <w:szCs w:val="24"/>
        </w:rPr>
        <w:t xml:space="preserve">в </w:t>
      </w:r>
      <w:hyperlink r:id="rId30" w:history="1">
        <w:r>
          <w:rPr>
            <w:rStyle w:val="a3"/>
            <w:color w:val="000000"/>
            <w:sz w:val="24"/>
            <w:szCs w:val="24"/>
            <w:u w:val="none"/>
          </w:rPr>
          <w:t>Положении</w:t>
        </w:r>
      </w:hyperlink>
      <w:r>
        <w:rPr>
          <w:color w:val="000000"/>
          <w:sz w:val="24"/>
          <w:szCs w:val="24"/>
        </w:rPr>
        <w:t xml:space="preserve"> "О классификации активов и соответствующих отчислениях в резерв на покрытие потенциальных потерь и убытков", утвержденном вышеуказанным </w:t>
      </w:r>
      <w:hyperlink r:id="rId31" w:history="1">
        <w:r>
          <w:rPr>
            <w:rStyle w:val="a3"/>
            <w:color w:val="000000"/>
            <w:sz w:val="24"/>
            <w:szCs w:val="24"/>
            <w:u w:val="none"/>
          </w:rPr>
          <w:t>постановлением</w:t>
        </w:r>
      </w:hyperlink>
      <w:r>
        <w:rPr>
          <w:color w:val="000000"/>
          <w:sz w:val="24"/>
          <w:szCs w:val="24"/>
        </w:rPr>
        <w:t>:</w:t>
      </w:r>
    </w:p>
    <w:p w14:paraId="533FFD9B" w14:textId="77777777" w:rsidR="00C304C1" w:rsidRDefault="00C304C1">
      <w:pPr>
        <w:pStyle w:val="tkTekst"/>
      </w:pPr>
      <w:r>
        <w:rPr>
          <w:color w:val="000000"/>
          <w:sz w:val="24"/>
          <w:szCs w:val="24"/>
        </w:rPr>
        <w:t>- в подпункте б) пункта 9.2. "слова трех лет" заменить словами "двух лет с момента возникновения права собственности.".</w:t>
      </w:r>
    </w:p>
    <w:p w14:paraId="58F0F97A" w14:textId="77777777" w:rsidR="00C304C1" w:rsidRDefault="00C304C1">
      <w:r>
        <w:t> </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304C1"/>
    <w:rsid w:val="00C304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9F6AC6"/>
  <w15:chartTrackingRefBased/>
  <w15:docId w15:val="{82AC0820-E398-471A-AAEA-7786A3BB3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customStyle="1" w:styleId="msonormal0">
    <w:name w:val="msonormal"/>
    <w:basedOn w:val="a"/>
    <w:pPr>
      <w:spacing w:before="100" w:beforeAutospacing="1" w:after="100" w:afterAutospacing="1"/>
    </w:pPr>
  </w:style>
  <w:style w:type="paragraph" w:styleId="a5">
    <w:name w:val="Balloon Text"/>
    <w:basedOn w:val="a"/>
    <w:link w:val="a6"/>
    <w:uiPriority w:val="99"/>
    <w:semiHidden/>
    <w:unhideWhenUsed/>
    <w:rPr>
      <w:rFonts w:ascii="Tahoma" w:hAnsi="Tahoma" w:cs="Tahoma"/>
      <w:sz w:val="16"/>
      <w:szCs w:val="16"/>
    </w:rPr>
  </w:style>
  <w:style w:type="character" w:customStyle="1" w:styleId="a6">
    <w:name w:val="Текст выноски Знак"/>
    <w:basedOn w:val="a0"/>
    <w:link w:val="a5"/>
    <w:uiPriority w:val="99"/>
    <w:semiHidden/>
    <w:rPr>
      <w:rFonts w:ascii="Tahoma" w:hAnsi="Tahoma" w:cs="Tahoma" w:hint="default"/>
    </w:rPr>
  </w:style>
  <w:style w:type="paragraph" w:customStyle="1" w:styleId="tkNazvanie">
    <w:name w:val="_Название (tkNazvanie)"/>
    <w:basedOn w:val="a"/>
    <w:pPr>
      <w:spacing w:before="400" w:after="400" w:line="276" w:lineRule="auto"/>
      <w:ind w:left="1134" w:right="1134"/>
      <w:jc w:val="center"/>
    </w:pPr>
    <w:rPr>
      <w:rFonts w:ascii="Arial" w:hAnsi="Arial" w:cs="Arial"/>
      <w:b/>
      <w:bCs/>
    </w:rPr>
  </w:style>
  <w:style w:type="paragraph" w:customStyle="1" w:styleId="tkTekst">
    <w:name w:val="_Текст обычный (tkTekst)"/>
    <w:basedOn w:val="a"/>
    <w:pPr>
      <w:spacing w:after="60" w:line="276" w:lineRule="auto"/>
      <w:ind w:firstLine="567"/>
      <w:jc w:val="both"/>
    </w:pPr>
    <w:rPr>
      <w:rFonts w:ascii="Arial" w:hAnsi="Arial" w:cs="Arial"/>
      <w:sz w:val="20"/>
      <w:szCs w:val="20"/>
    </w:rPr>
  </w:style>
  <w:style w:type="paragraph" w:customStyle="1" w:styleId="msochpdefault">
    <w:name w:val="msochpdefault"/>
    <w:basedOn w:val="a"/>
    <w:pPr>
      <w:spacing w:before="100" w:beforeAutospacing="1" w:after="100" w:afterAutospacing="1"/>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bd.minjust.gov.kg/800716" TargetMode="External"/><Relationship Id="rId13" Type="http://schemas.openxmlformats.org/officeDocument/2006/relationships/hyperlink" Target="https://cbd.minjust.gov.kg/31372" TargetMode="External"/><Relationship Id="rId18" Type="http://schemas.openxmlformats.org/officeDocument/2006/relationships/hyperlink" Target="toktom://db/115038" TargetMode="External"/><Relationship Id="rId26" Type="http://schemas.openxmlformats.org/officeDocument/2006/relationships/hyperlink" Target="toktom://db/115039" TargetMode="External"/><Relationship Id="rId3" Type="http://schemas.openxmlformats.org/officeDocument/2006/relationships/webSettings" Target="webSettings.xml"/><Relationship Id="rId21" Type="http://schemas.openxmlformats.org/officeDocument/2006/relationships/hyperlink" Target="toktom://db/114444" TargetMode="External"/><Relationship Id="rId7" Type="http://schemas.openxmlformats.org/officeDocument/2006/relationships/hyperlink" Target="https://cbd.minjust.gov.kg/559" TargetMode="External"/><Relationship Id="rId12" Type="http://schemas.openxmlformats.org/officeDocument/2006/relationships/hyperlink" Target="https://cbd.minjust.gov.kg/302507" TargetMode="External"/><Relationship Id="rId17" Type="http://schemas.openxmlformats.org/officeDocument/2006/relationships/hyperlink" Target="toktom://db/115039" TargetMode="External"/><Relationship Id="rId25" Type="http://schemas.openxmlformats.org/officeDocument/2006/relationships/hyperlink" Target="toktom://db/114445"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toktom://db/115039" TargetMode="External"/><Relationship Id="rId20" Type="http://schemas.openxmlformats.org/officeDocument/2006/relationships/hyperlink" Target="toktom://db/115039" TargetMode="External"/><Relationship Id="rId29" Type="http://schemas.openxmlformats.org/officeDocument/2006/relationships/hyperlink" Target="toktom://db/48740" TargetMode="External"/><Relationship Id="rId1" Type="http://schemas.openxmlformats.org/officeDocument/2006/relationships/styles" Target="styles.xml"/><Relationship Id="rId6" Type="http://schemas.openxmlformats.org/officeDocument/2006/relationships/hyperlink" Target="https://cbd.minjust.gov.kg/111486" TargetMode="External"/><Relationship Id="rId11" Type="http://schemas.openxmlformats.org/officeDocument/2006/relationships/hyperlink" Target="https://cbd.minjust.gov.kg/302508" TargetMode="External"/><Relationship Id="rId24" Type="http://schemas.openxmlformats.org/officeDocument/2006/relationships/hyperlink" Target="toktom://db/114444" TargetMode="External"/><Relationship Id="rId32" Type="http://schemas.openxmlformats.org/officeDocument/2006/relationships/fontTable" Target="fontTable.xml"/><Relationship Id="rId5" Type="http://schemas.openxmlformats.org/officeDocument/2006/relationships/hyperlink" Target="https://cbd.minjust.gov.kg/559" TargetMode="External"/><Relationship Id="rId15" Type="http://schemas.openxmlformats.org/officeDocument/2006/relationships/hyperlink" Target="https://cbd.minjust.gov.kg/302514" TargetMode="External"/><Relationship Id="rId23" Type="http://schemas.openxmlformats.org/officeDocument/2006/relationships/hyperlink" Target="toktom://db/114445" TargetMode="External"/><Relationship Id="rId28" Type="http://schemas.openxmlformats.org/officeDocument/2006/relationships/hyperlink" Target="toktom://db/48739" TargetMode="External"/><Relationship Id="rId10" Type="http://schemas.openxmlformats.org/officeDocument/2006/relationships/hyperlink" Target="https://cbd.minjust.gov.kg/302514" TargetMode="External"/><Relationship Id="rId19" Type="http://schemas.openxmlformats.org/officeDocument/2006/relationships/hyperlink" Target="toktom://db/115039" TargetMode="External"/><Relationship Id="rId31" Type="http://schemas.openxmlformats.org/officeDocument/2006/relationships/hyperlink" Target="toktom://db/48739" TargetMode="External"/><Relationship Id="rId4" Type="http://schemas.openxmlformats.org/officeDocument/2006/relationships/image" Target="media/image1.jpg"/><Relationship Id="rId9" Type="http://schemas.openxmlformats.org/officeDocument/2006/relationships/hyperlink" Target="https://cbd.minjust.gov.kg/302515" TargetMode="External"/><Relationship Id="rId14" Type="http://schemas.openxmlformats.org/officeDocument/2006/relationships/hyperlink" Target="https://cbd.minjust.gov.kg/31371" TargetMode="External"/><Relationship Id="rId22" Type="http://schemas.openxmlformats.org/officeDocument/2006/relationships/hyperlink" Target="toktom://db/114445" TargetMode="External"/><Relationship Id="rId27" Type="http://schemas.openxmlformats.org/officeDocument/2006/relationships/hyperlink" Target="toktom://db/115038" TargetMode="External"/><Relationship Id="rId30" Type="http://schemas.openxmlformats.org/officeDocument/2006/relationships/hyperlink" Target="toktom://db/487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1508</Words>
  <Characters>8602</Characters>
  <Application>Microsoft Office Word</Application>
  <DocSecurity>0</DocSecurity>
  <Lines>71</Lines>
  <Paragraphs>20</Paragraphs>
  <ScaleCrop>false</ScaleCrop>
  <Company/>
  <LinksUpToDate>false</LinksUpToDate>
  <CharactersWithSpaces>10090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2023-12-15T21:36:00Z</dcterms:created>
  <dcterms:modified xsi:type="dcterms:W3CDTF">2023-12-15T21:36:00Z</dcterms:modified>
</cp:coreProperties>
</file>