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7DCCF" w14:textId="77777777" w:rsidR="00A33296" w:rsidRDefault="00A33296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4FA6FF14" wp14:editId="549474D6">
            <wp:extent cx="1152525" cy="1152525"/>
            <wp:effectExtent l="0" t="0" r="9525" b="9525"/>
            <wp:docPr id="1" name="Рисунок 3" descr="Описание: Описание: Описание: Описание: Описание: C:\Users\User\AppData\Local\Temp\CdbDocEditor\25a895a7-cd08-44c0-972f-c310ca6e8368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Описание: C:\Users\User\AppData\Local\Temp\CdbDocEditor\25a895a7-cd08-44c0-972f-c310ca6e8368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ED141" w14:textId="77777777" w:rsidR="00A33296" w:rsidRDefault="00A33296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547EA592" w14:textId="77777777" w:rsidR="00A33296" w:rsidRDefault="00A33296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19A2AEBA" w14:textId="77777777" w:rsidR="00A33296" w:rsidRDefault="00A33296">
      <w:pPr>
        <w:spacing w:after="240"/>
      </w:pPr>
      <w:r>
        <w:rPr>
          <w:rFonts w:ascii="Arial" w:hAnsi="Arial" w:cs="Arial"/>
        </w:rPr>
        <w:t>от 25 сентября 2013 года № 35/17</w:t>
      </w:r>
    </w:p>
    <w:p w14:paraId="1115E380" w14:textId="77777777" w:rsidR="00A33296" w:rsidRDefault="00A33296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О внесении дополнений в некоторые нормативные правовые акты Национального банка Кыргызской Республики, регулирующие деятельность микрофинансовых организаций</w:t>
      </w:r>
    </w:p>
    <w:p w14:paraId="0FC55562" w14:textId="77777777" w:rsidR="00A33296" w:rsidRDefault="00A33296">
      <w:pPr>
        <w:spacing w:after="120"/>
        <w:ind w:firstLine="397"/>
        <w:jc w:val="center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5" w:history="1">
        <w:r>
          <w:rPr>
            <w:rStyle w:val="a3"/>
            <w:rFonts w:ascii="Arial" w:hAnsi="Arial" w:cs="Arial"/>
            <w:i/>
            <w:iCs/>
          </w:rPr>
          <w:t>9 декабря 2015 года № 76/9</w:t>
        </w:r>
      </w:hyperlink>
      <w:r>
        <w:rPr>
          <w:rFonts w:ascii="Arial" w:hAnsi="Arial" w:cs="Arial"/>
          <w:i/>
          <w:iCs/>
        </w:rPr>
        <w:t>)</w:t>
      </w:r>
    </w:p>
    <w:p w14:paraId="206946B4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 xml:space="preserve">В соответствии со статьями 7 и 43 </w:t>
      </w:r>
      <w:hyperlink r:id="rId6" w:history="1">
        <w:r>
          <w:rPr>
            <w:rStyle w:val="a3"/>
            <w:rFonts w:ascii="Arial" w:hAnsi="Arial" w:cs="Arial"/>
          </w:rPr>
          <w:t>Закона</w:t>
        </w:r>
      </w:hyperlink>
      <w:r>
        <w:rPr>
          <w:rFonts w:ascii="Arial" w:hAnsi="Arial" w:cs="Arial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 w14:paraId="01CA206A" w14:textId="77777777" w:rsidR="00A33296" w:rsidRDefault="00A33296">
      <w:pPr>
        <w:spacing w:after="120"/>
        <w:ind w:firstLine="397"/>
        <w:jc w:val="center"/>
      </w:pPr>
      <w:r>
        <w:rPr>
          <w:rFonts w:ascii="Arial" w:hAnsi="Arial" w:cs="Arial"/>
        </w:rPr>
        <w:t>ПОСТАНОВЛЯЕТ:</w:t>
      </w:r>
    </w:p>
    <w:p w14:paraId="424A3EC0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 xml:space="preserve">1. Утвердить </w:t>
      </w:r>
      <w:hyperlink r:id="rId7" w:anchor="p1" w:history="1">
        <w:r>
          <w:rPr>
            <w:rStyle w:val="a3"/>
            <w:rFonts w:ascii="Arial" w:hAnsi="Arial" w:cs="Arial"/>
          </w:rPr>
          <w:t>дополнения</w:t>
        </w:r>
      </w:hyperlink>
      <w:r>
        <w:rPr>
          <w:rFonts w:ascii="Arial" w:hAnsi="Arial" w:cs="Arial"/>
        </w:rPr>
        <w:t xml:space="preserve"> в некоторые нормативные правовые акты Национального банка Кыргызской Республики (прилагаются).</w:t>
      </w:r>
    </w:p>
    <w:p w14:paraId="35562717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>2. Юридическому управлению:</w:t>
      </w:r>
    </w:p>
    <w:p w14:paraId="452677F2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>- опубликовать настоящее постановление на официальном сайте Национального банка Кыргызской Республики;</w:t>
      </w:r>
    </w:p>
    <w:p w14:paraId="6FD4498A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3E16300A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>3. Настоящее постановление вступает в силу по истечении пятнадцати дней со дня официального опубликования.</w:t>
      </w:r>
    </w:p>
    <w:p w14:paraId="743DC1AD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>4. Управлению методологии надзора и лицензирования довести настоящее постановление до сведения микрофинансовых организаций.</w:t>
      </w:r>
    </w:p>
    <w:p w14:paraId="003C0615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19C20D67" w14:textId="77777777" w:rsidR="00A33296" w:rsidRDefault="00A33296">
      <w:pPr>
        <w:spacing w:after="120"/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777D2C3C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4488DD9E" w14:textId="77777777" w:rsidR="00A33296" w:rsidRDefault="00A33296">
            <w:r>
              <w:rPr>
                <w:rFonts w:ascii="Arial" w:hAnsi="Arial" w:cs="Arial"/>
                <w:b/>
                <w:bCs/>
              </w:rPr>
              <w:t xml:space="preserve">Председатель 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ADD41" w14:textId="77777777" w:rsidR="00A33296" w:rsidRDefault="00A33296">
            <w:pPr>
              <w:spacing w:after="120"/>
              <w:ind w:firstLine="397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F6F762" w14:textId="77777777" w:rsidR="00A33296" w:rsidRDefault="00A33296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З.Асанкожоева</w:t>
            </w:r>
          </w:p>
        </w:tc>
      </w:tr>
    </w:tbl>
    <w:p w14:paraId="1816FE7F" w14:textId="77777777" w:rsidR="00A33296" w:rsidRDefault="00A33296">
      <w:pPr>
        <w:spacing w:after="120"/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3484"/>
        <w:gridCol w:w="2597"/>
      </w:tblGrid>
      <w:tr w:rsidR="00000000" w14:paraId="5AAB330A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452E1BFD" w14:textId="77777777" w:rsidR="00A33296" w:rsidRDefault="00A33296">
            <w:pPr>
              <w:spacing w:after="120"/>
              <w:ind w:firstLine="397"/>
            </w:pPr>
            <w:r>
              <w:t> </w:t>
            </w:r>
          </w:p>
        </w:tc>
        <w:tc>
          <w:tcPr>
            <w:tcW w:w="186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48830" w14:textId="77777777" w:rsidR="00A33296" w:rsidRDefault="00A33296">
            <w:pPr>
              <w:spacing w:after="120"/>
              <w:ind w:firstLine="397"/>
            </w:pPr>
            <w:r>
              <w:t> </w:t>
            </w:r>
          </w:p>
        </w:tc>
        <w:tc>
          <w:tcPr>
            <w:tcW w:w="1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953A9" w14:textId="77777777" w:rsidR="00A33296" w:rsidRDefault="00A33296">
            <w:pPr>
              <w:spacing w:after="120"/>
            </w:pPr>
            <w:bookmarkStart w:id="0" w:name="р1"/>
            <w:bookmarkEnd w:id="0"/>
            <w:r>
              <w:rPr>
                <w:rFonts w:ascii="Arial" w:hAnsi="Arial" w:cs="Arial"/>
              </w:rPr>
              <w:t>Приложение 1</w:t>
            </w:r>
            <w:r>
              <w:rPr>
                <w:rFonts w:ascii="Arial" w:hAnsi="Arial" w:cs="Arial"/>
              </w:rPr>
              <w:br/>
              <w:t xml:space="preserve">к </w:t>
            </w:r>
            <w:hyperlink r:id="rId8" w:history="1">
              <w:r>
                <w:rPr>
                  <w:rStyle w:val="a3"/>
                  <w:rFonts w:ascii="Arial" w:hAnsi="Arial" w:cs="Arial"/>
                </w:rPr>
                <w:t>постановлению</w:t>
              </w:r>
            </w:hyperlink>
            <w:r>
              <w:rPr>
                <w:rFonts w:ascii="Arial" w:hAnsi="Arial" w:cs="Arial"/>
              </w:rPr>
              <w:t xml:space="preserve"> Правления Национального банка Кыргызской Республики</w:t>
            </w:r>
            <w:r>
              <w:rPr>
                <w:rFonts w:ascii="Arial" w:hAnsi="Arial" w:cs="Arial"/>
              </w:rPr>
              <w:br/>
              <w:t>от 25 сентября 2013 года № 35/17</w:t>
            </w:r>
          </w:p>
        </w:tc>
      </w:tr>
    </w:tbl>
    <w:p w14:paraId="74D1ECC2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>1.</w:t>
      </w:r>
      <w:r>
        <w:rPr>
          <w:rFonts w:ascii="Arial" w:hAnsi="Arial" w:cs="Arial"/>
          <w:i/>
          <w:iCs/>
        </w:rPr>
        <w:t xml:space="preserve"> (Утратил силу в соответствии с </w:t>
      </w:r>
      <w:hyperlink r:id="rId9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9 декабря 2015 года № 76/9)</w:t>
      </w:r>
    </w:p>
    <w:p w14:paraId="3474BE6C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 xml:space="preserve">2. Внести во </w:t>
      </w:r>
      <w:hyperlink r:id="rId10" w:history="1">
        <w:r>
          <w:rPr>
            <w:rStyle w:val="a3"/>
            <w:rFonts w:ascii="Arial" w:hAnsi="Arial" w:cs="Arial"/>
          </w:rPr>
          <w:t>Временные правила</w:t>
        </w:r>
      </w:hyperlink>
      <w:r>
        <w:rPr>
          <w:rFonts w:ascii="Arial" w:hAnsi="Arial" w:cs="Arial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r:id="rId11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от 19 февраля 2003 года № 4/2, следующие дополнения:</w:t>
      </w:r>
    </w:p>
    <w:p w14:paraId="7DB9F718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>1) В пункте 2.1 после слов "(не привлекающая срочных вкладов от физических и юридических лиц)" дополнить словами ", за исключением случаев, предусмотренных пунктом 2.1.-1 настоящих Временных правил".</w:t>
      </w:r>
    </w:p>
    <w:p w14:paraId="624946F5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>2) Раздел 2 дополнить пунктом 2.1.-1 следующего содержания:</w:t>
      </w:r>
    </w:p>
    <w:p w14:paraId="30340CEE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 xml:space="preserve">"2.1.-1. Выдача микрокредита, свыше максимального размера микрокредита, выдаваемого микрофинансовой компанией одному и тому же заемщику, установленного пунктом 2.1. настоящих Временных правил, за исключением микрофинансовых организаций, осуществляющих прием срочных вкладов от физических и юридических лиц и занимающихся оптовым кредитованием, допускается для целей расширения/развития действующего бизнеса, в том числе создание дополнительных рабочих мест, согласно статье 2 </w:t>
      </w:r>
      <w:hyperlink r:id="rId12" w:history="1">
        <w:r>
          <w:rPr>
            <w:rStyle w:val="a3"/>
            <w:rFonts w:ascii="Arial" w:hAnsi="Arial" w:cs="Arial"/>
          </w:rPr>
          <w:t>Закона</w:t>
        </w:r>
      </w:hyperlink>
      <w:r>
        <w:rPr>
          <w:rFonts w:ascii="Arial" w:hAnsi="Arial" w:cs="Arial"/>
        </w:rPr>
        <w:t xml:space="preserve"> Кыргызской Республики "О микрофинансовых организациях в Кыргызской Республике", по следующим направлениям кредитования:</w:t>
      </w:r>
    </w:p>
    <w:p w14:paraId="57E0DDD4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>- торговля;</w:t>
      </w:r>
    </w:p>
    <w:p w14:paraId="68AADFE9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>- сельское хозяйство (включая растениеводство, животноводство, заготовка/переработка сельскохозяйственных продуктов);</w:t>
      </w:r>
    </w:p>
    <w:p w14:paraId="7E5CDBEF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>- услуги;</w:t>
      </w:r>
    </w:p>
    <w:p w14:paraId="4B6E6E6A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>- транспорт;</w:t>
      </w:r>
    </w:p>
    <w:p w14:paraId="668EA575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>- промышленность;</w:t>
      </w:r>
    </w:p>
    <w:p w14:paraId="096E6840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>- строительство;</w:t>
      </w:r>
    </w:p>
    <w:p w14:paraId="6BA2248E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 xml:space="preserve">- и другие направления, не противоречащие целям и задачам микрофинансирования, в соответствии с требованиями </w:t>
      </w:r>
      <w:hyperlink r:id="rId13" w:history="1">
        <w:r>
          <w:rPr>
            <w:rStyle w:val="a3"/>
            <w:rFonts w:ascii="Arial" w:hAnsi="Arial" w:cs="Arial"/>
          </w:rPr>
          <w:t>Закона</w:t>
        </w:r>
      </w:hyperlink>
      <w:r>
        <w:rPr>
          <w:rFonts w:ascii="Arial" w:hAnsi="Arial" w:cs="Arial"/>
        </w:rPr>
        <w:t xml:space="preserve"> Кыргызской Республики "О микрофинансовых организациях в Кыргызской Республике".</w:t>
      </w:r>
    </w:p>
    <w:p w14:paraId="46615C76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>При выдаче микрофинансовыми компаниями микрокредитов, указанных в абзаце первом настоящего пункта, необходимо выполнение следующих условий:</w:t>
      </w:r>
    </w:p>
    <w:p w14:paraId="202504E5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>1) наличие у микрофинансовой компании разработанной в соответствии с целями и задачами микрофинансирования политики с определением конкретных кредитных продуктов;</w:t>
      </w:r>
    </w:p>
    <w:p w14:paraId="4739797E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 xml:space="preserve">2) сумма такого микрокредита, при </w:t>
      </w:r>
      <w:r>
        <w:rPr>
          <w:rFonts w:ascii="Arial" w:hAnsi="Arial" w:cs="Arial"/>
        </w:rPr>
        <w:t>соблюдении установленных условий (не более 10% от уставного капитала), не должна быть свыше 3000000 (трех миллионов) сомов (или эквивалента в иностранной валюте);</w:t>
      </w:r>
    </w:p>
    <w:p w14:paraId="02F6A860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>3) имеется соответствующая информация из Кредитного информационного бюро (КИБ) относительно кредитной истории заявителя, в том числе по просроченным кредитам, ранее полученным заявителем, а также информация о том, выступает ли заявитель в качестве поручителя по каким-либо другим кредитам;</w:t>
      </w:r>
    </w:p>
    <w:p w14:paraId="4BA616EF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>4) имеются необходимые документальные подтверждения платежеспособности заявителя (права владения активами, генерирующими доход заявителя, справка о заработной плате с места работы, патент, свидетельство и т.д.), а также проведена оценка платежеспособности заявителя, подтвержденная заключением ответственного кредитного специалиста или сотрудника в соответствии с кредитной политикой и/или иными внутренними документами микрокредитной компании;</w:t>
      </w:r>
    </w:p>
    <w:p w14:paraId="3DCAA12C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>5) предоставлен Бизнес-план заявителя, при этом, в Бизнес-плане должны быть указаны цели использования кредита с соответствующими расчетами и прогнозами;</w:t>
      </w:r>
    </w:p>
    <w:p w14:paraId="2195F75E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>6) имеются внутренние нормативные документы микрофинансовой компании, предусматривающие порядок последующего мониторинга целевого использования выданного микрокредита;</w:t>
      </w:r>
    </w:p>
    <w:p w14:paraId="113F9796" w14:textId="77777777" w:rsidR="00A33296" w:rsidRDefault="00A33296">
      <w:pPr>
        <w:spacing w:after="120"/>
        <w:ind w:firstLine="397"/>
      </w:pPr>
      <w:r>
        <w:rPr>
          <w:rFonts w:ascii="Arial" w:hAnsi="Arial" w:cs="Arial"/>
        </w:rPr>
        <w:t>7) коэффициент покрытия долга заемщика равен отношению совокупного дохода заемщика к месячному взносу по кредиту (по основной сумме и процентам) не менее 130 процентов.".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296"/>
    <w:rsid w:val="00A3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5F5C75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796" TargetMode="External"/><Relationship Id="rId13" Type="http://schemas.openxmlformats.org/officeDocument/2006/relationships/hyperlink" Target="https://cbd.minjust.gov.kg/108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796" TargetMode="External"/><Relationship Id="rId12" Type="http://schemas.openxmlformats.org/officeDocument/2006/relationships/hyperlink" Target="https://cbd.minjust.gov.kg/108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0769" TargetMode="External"/><Relationship Id="rId5" Type="http://schemas.openxmlformats.org/officeDocument/2006/relationships/hyperlink" Target="https://cbd.minjust.gov.kg/800725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bd.minjust.gov.kg/30770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80072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783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2023-12-15T17:39:00Z</dcterms:created>
  <dcterms:modified xsi:type="dcterms:W3CDTF">2023-12-15T17:39:00Z</dcterms:modified>
</cp:coreProperties>
</file>