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CAB24" w14:textId="77777777" w:rsidR="0071515D" w:rsidRDefault="0071515D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0F5A3037" wp14:editId="11F86834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C:\Users\User\AppData\Local\Temp\LSoft\CdbSearchClient\d5e4cea4-8695-438f-aeb7-bdb89252fb3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C:\Users\User\AppData\Local\Temp\LSoft\CdbSearchClient\d5e4cea4-8695-438f-aeb7-bdb89252fb3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E481D" w14:textId="77777777" w:rsidR="0071515D" w:rsidRDefault="0071515D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14F157AE" w14:textId="77777777" w:rsidR="0071515D" w:rsidRDefault="0071515D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09BD6B35" w14:textId="77777777" w:rsidR="0071515D" w:rsidRDefault="0071515D">
      <w:pPr>
        <w:spacing w:after="240"/>
      </w:pPr>
      <w:r>
        <w:rPr>
          <w:rFonts w:ascii="Arial" w:hAnsi="Arial" w:cs="Arial"/>
        </w:rPr>
        <w:t>от 19 июля 2017 года № 2017-П-09/32-2-(НПА)</w:t>
      </w:r>
    </w:p>
    <w:p w14:paraId="42C67E2F" w14:textId="77777777" w:rsidR="0071515D" w:rsidRDefault="0071515D">
      <w:pPr>
        <w:pStyle w:val="tkNazvanie"/>
      </w:pPr>
      <w:r>
        <w:rPr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"Об утверждении Положения "О выпуске, размещении, обращении и погашении нот Национального банка Кыргызской Республики" от 28 марта 2013 года № 10/6</w:t>
      </w:r>
    </w:p>
    <w:p w14:paraId="53E3B82D" w14:textId="77777777" w:rsidR="0071515D" w:rsidRDefault="0071515D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sz w:val="24"/>
            <w:szCs w:val="24"/>
          </w:rPr>
          <w:t>20</w:t>
        </w:r>
      </w:hyperlink>
      <w:r>
        <w:rPr>
          <w:sz w:val="24"/>
          <w:szCs w:val="24"/>
        </w:rPr>
        <w:t xml:space="preserve"> и </w:t>
      </w:r>
      <w:hyperlink r:id="rId6" w:anchor="st_68" w:history="1">
        <w:r>
          <w:rPr>
            <w:rStyle w:val="a3"/>
            <w:sz w:val="24"/>
            <w:szCs w:val="24"/>
          </w:rPr>
          <w:t>68</w:t>
        </w:r>
      </w:hyperlink>
      <w:r>
        <w:rPr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621D6DCA" w14:textId="77777777" w:rsidR="0071515D" w:rsidRDefault="0071515D">
      <w:pPr>
        <w:pStyle w:val="tkTekst"/>
      </w:pPr>
      <w:r>
        <w:rPr>
          <w:sz w:val="24"/>
          <w:szCs w:val="24"/>
        </w:rPr>
        <w:t xml:space="preserve">1. Внести </w:t>
      </w:r>
      <w:hyperlink r:id="rId7" w:anchor="pr" w:history="1">
        <w:r>
          <w:rPr>
            <w:rStyle w:val="a3"/>
            <w:sz w:val="24"/>
            <w:szCs w:val="24"/>
          </w:rPr>
          <w:t>изменения и дополнения</w:t>
        </w:r>
      </w:hyperlink>
      <w:r>
        <w:rPr>
          <w:sz w:val="24"/>
          <w:szCs w:val="24"/>
        </w:rPr>
        <w:t xml:space="preserve"> в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выпуске, размещении, обращении и погашении нот Национального банка Кыргызской Республики" от 28 марта 2013 года № 10/6 (прилагаются).</w:t>
      </w:r>
    </w:p>
    <w:p w14:paraId="1E09B740" w14:textId="77777777" w:rsidR="0071515D" w:rsidRDefault="0071515D">
      <w:pPr>
        <w:pStyle w:val="tkTekst"/>
      </w:pPr>
      <w:r>
        <w:rPr>
          <w:sz w:val="24"/>
          <w:szCs w:val="24"/>
        </w:rPr>
        <w:t>2. Юридическому управлению:</w:t>
      </w:r>
    </w:p>
    <w:p w14:paraId="75C7D60F" w14:textId="77777777" w:rsidR="0071515D" w:rsidRDefault="0071515D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0E6BE60D" w14:textId="77777777" w:rsidR="0071515D" w:rsidRDefault="0071515D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C654A13" w14:textId="77777777" w:rsidR="0071515D" w:rsidRDefault="0071515D">
      <w:pPr>
        <w:pStyle w:val="tkTekst"/>
      </w:pPr>
      <w:r>
        <w:rPr>
          <w:sz w:val="24"/>
          <w:szCs w:val="24"/>
        </w:rPr>
        <w:t>3. Настоящее постановление вступает в силу по истечении 15 дней со дня его официального опубликования.</w:t>
      </w:r>
    </w:p>
    <w:p w14:paraId="34D7B470" w14:textId="77777777" w:rsidR="0071515D" w:rsidRDefault="0071515D">
      <w:pPr>
        <w:pStyle w:val="tkTekst"/>
      </w:pPr>
      <w:r>
        <w:rPr>
          <w:sz w:val="24"/>
          <w:szCs w:val="24"/>
        </w:rPr>
        <w:t>4. Управлению денежно-кредитных операций довести настоящее постановление до сведения коммерческих банков, институциональных инвесторов и соответствующих структурных подразделений Национального банка.</w:t>
      </w:r>
    </w:p>
    <w:p w14:paraId="5231F7FD" w14:textId="77777777" w:rsidR="0071515D" w:rsidRDefault="0071515D">
      <w:pPr>
        <w:pStyle w:val="tkTekst"/>
      </w:pPr>
      <w:r>
        <w:rPr>
          <w:sz w:val="24"/>
          <w:szCs w:val="24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 w14:paraId="620393CD" w14:textId="77777777" w:rsidR="0071515D" w:rsidRDefault="0071515D">
      <w:pPr>
        <w:spacing w:after="12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C8BA28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A1915" w14:textId="77777777" w:rsidR="0071515D" w:rsidRDefault="0071515D">
            <w:r>
              <w:rPr>
                <w:rFonts w:ascii="Arial" w:hAnsi="Arial" w:cs="Arial"/>
                <w:b/>
                <w:bCs/>
              </w:rPr>
              <w:t>Председатель Правления</w:t>
            </w:r>
          </w:p>
          <w:p w14:paraId="3BB10CE7" w14:textId="77777777" w:rsidR="0071515D" w:rsidRDefault="0071515D">
            <w:r>
              <w:rPr>
                <w:rFonts w:ascii="Arial" w:hAnsi="Arial" w:cs="Arial"/>
                <w:b/>
                <w:bCs/>
              </w:rPr>
              <w:t>Национального банка</w:t>
            </w:r>
          </w:p>
          <w:p w14:paraId="1248BE55" w14:textId="77777777" w:rsidR="0071515D" w:rsidRDefault="0071515D">
            <w:r>
              <w:rPr>
                <w:rFonts w:ascii="Arial" w:hAnsi="Arial" w:cs="Arial"/>
                <w:b/>
                <w:bCs/>
              </w:rPr>
              <w:t>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A7024" w14:textId="77777777" w:rsidR="0071515D" w:rsidRDefault="0071515D">
            <w:pPr>
              <w:jc w:val="right"/>
            </w:pPr>
            <w:r>
              <w:t> </w:t>
            </w:r>
          </w:p>
          <w:p w14:paraId="0A6CBD78" w14:textId="77777777" w:rsidR="0071515D" w:rsidRDefault="0071515D">
            <w:pPr>
              <w:jc w:val="right"/>
            </w:pPr>
            <w:r>
              <w:t> </w:t>
            </w:r>
          </w:p>
          <w:p w14:paraId="08AD5467" w14:textId="77777777" w:rsidR="0071515D" w:rsidRDefault="0071515D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13E7B85E" w14:textId="77777777" w:rsidR="0071515D" w:rsidRDefault="0071515D">
      <w:pPr>
        <w:spacing w:after="12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6B07A6F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8AA04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F3A4F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E741" w14:textId="77777777" w:rsidR="0071515D" w:rsidRDefault="0071515D">
            <w:pPr>
              <w:spacing w:after="60" w:line="276" w:lineRule="auto"/>
              <w:jc w:val="center"/>
            </w:pPr>
            <w:bookmarkStart w:id="0" w:name="pr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 xml:space="preserve">от 19 июля 2017 </w:t>
            </w:r>
            <w:r>
              <w:rPr>
                <w:rFonts w:ascii="Arial" w:hAnsi="Arial" w:cs="Arial"/>
              </w:rPr>
              <w:t>года № 2017-П-09/32-2-(НПА)</w:t>
            </w:r>
          </w:p>
        </w:tc>
      </w:tr>
    </w:tbl>
    <w:p w14:paraId="1B55DBA7" w14:textId="77777777" w:rsidR="0071515D" w:rsidRDefault="0071515D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>в постановление Правления Национального банка Кыргызской Республики "Об утверждении Положения "О выпуске, размещении, обращении и погашении нот Национального банка Кыргызской Республики" от 28 марта 2013 года № 10/6</w:t>
      </w:r>
    </w:p>
    <w:p w14:paraId="47D85BA7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выпуске, размещении, обращении и погашении нот Национального банка Кыргызской Республики" от 28 марта 2013 года № 10/6 следующие изменения и дополнения:</w:t>
      </w:r>
    </w:p>
    <w:p w14:paraId="5240E22B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2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выпуске, размещении, обращении и погашении нот Национального банка Кыргызской Республики, утвержденном вышеуказанным </w:t>
      </w:r>
      <w:hyperlink r:id="rId1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1E3176EC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7 изложить в следующей редакции:</w:t>
      </w:r>
    </w:p>
    <w:p w14:paraId="6AABF367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"Аукцион - форма торгов нотами Национального банка.";</w:t>
      </w:r>
    </w:p>
    <w:p w14:paraId="61A5B50C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11 после слов "сведения, включающие в себя дату проведения аукциона," дополнить словами "метод проведения аукциона,";</w:t>
      </w:r>
    </w:p>
    <w:p w14:paraId="2D1F6627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первое предложение пункта 15 изложить в следующей редакции:</w:t>
      </w:r>
    </w:p>
    <w:p w14:paraId="289EA303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"Ноты Национального банка являются дисконтными ценными бумагами со сроками обращения от 7 до 364 дней.";</w:t>
      </w:r>
    </w:p>
    <w:p w14:paraId="68E07072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первое предложение пункта 17 изложить в следующей редакции:</w:t>
      </w:r>
    </w:p>
    <w:p w14:paraId="0546B4C3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"Комитетом денежно-кредитного регулирования Национального банка (далее - КДКР) принимается решение о выпуске нот Национального банка и устанавливается метод, объем, срочность, дата проведения аукциона, а также принимается решение о проведении доразмещения нот Национального банка.";</w:t>
      </w:r>
    </w:p>
    <w:p w14:paraId="04914D2C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33 изложить в следующей редакции:</w:t>
      </w:r>
    </w:p>
    <w:p w14:paraId="554A4A87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"33. По решению КДКР аукционы могут проводиться одним из следующих методов:</w:t>
      </w:r>
    </w:p>
    <w:p w14:paraId="1E1A0A11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аукцион по множественным ценам, при котором удовлетворение заявок начинается с наивысших дисконтированных цен и заканчивается на цене отсечения на условиях, приемлемых для Национального банка. При этом в случае если по цене отсечения подано несколько заявок, то распределение нот Национального банка между этими заявками производится на пропорциональной основе;</w:t>
      </w:r>
    </w:p>
    <w:p w14:paraId="6800ECAA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аукцион по фиксированной доходности. При проведении аукциона с фиксированной доходностью удовлетворяются все заявки по доходности, установленной КДКР. В случае если суммарный объем заявок превышает объем предложенных нот Национального банка на аукционе, то удовлетворение заявок осуществляется на пропорциональной основе.";</w:t>
      </w:r>
    </w:p>
    <w:p w14:paraId="06842255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второй абзац пункта 38 изложить в следующей редакции:</w:t>
      </w:r>
    </w:p>
    <w:p w14:paraId="1625D1ED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количество заявок - не более 3;";</w:t>
      </w:r>
    </w:p>
    <w:p w14:paraId="43F329AB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14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дополнить пунктами 41-1, 41-2, 41-3 следующего содержания:</w:t>
      </w:r>
    </w:p>
    <w:p w14:paraId="62926447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"41-1. В случае невозможности проведения аукциона в АТС (при возникновении технических сбоев в АТС и/или других причин) Национальный банк уведомляет прямых участников о невозможности проведения аукциона в АТС. В данном случае аукцион по размещению/доразмещению нот Национального банка проводится с использованием программного обеспечения EXCEL на основе бумажных заявок, подписанных руководством прямого участника и заверенных печатью (</w:t>
      </w:r>
      <w:hyperlink r:id="rId15" w:anchor="pr3" w:history="1">
        <w:r>
          <w:rPr>
            <w:rStyle w:val="a3"/>
            <w:rFonts w:ascii="Arial" w:hAnsi="Arial" w:cs="Arial"/>
          </w:rPr>
          <w:t>Приложение 3</w:t>
        </w:r>
      </w:hyperlink>
      <w:r>
        <w:rPr>
          <w:rFonts w:ascii="Arial" w:hAnsi="Arial" w:cs="Arial"/>
        </w:rPr>
        <w:t xml:space="preserve"> к настоящему Положению).</w:t>
      </w:r>
    </w:p>
    <w:p w14:paraId="251DEBDC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41-2. Бумажные заявки, запечатанные в конверте, предоставляются в Национальный банк до 12:00 часов дня проведения аукциона. Заявка должна быть опущена в ящик с надписью: "Для заявок на аукционы нот Национального банка", расположенный в каб. 117 Национального банка на первом этаже здания, расположенного по адресу: г.Бишкек, проспект Чуй, 168. Заявку необходимо зарегистрировать в журнале регистрации заявок.</w:t>
      </w:r>
    </w:p>
    <w:p w14:paraId="07EE1843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41-3. Передача результатов аукциона (</w:t>
      </w:r>
      <w:hyperlink r:id="rId16" w:anchor="pr4" w:history="1">
        <w:r>
          <w:rPr>
            <w:rStyle w:val="a3"/>
            <w:rFonts w:ascii="Arial" w:hAnsi="Arial" w:cs="Arial"/>
          </w:rPr>
          <w:t>Приложение 4</w:t>
        </w:r>
      </w:hyperlink>
      <w:r>
        <w:rPr>
          <w:rFonts w:ascii="Arial" w:hAnsi="Arial" w:cs="Arial"/>
        </w:rPr>
        <w:t xml:space="preserve"> к настоящему Положению) прямым участникам аукциона производится на бумажном носителе через экспедицию Национального банка с предварительной отправкой по факсимильной связи.";</w:t>
      </w:r>
    </w:p>
    <w:p w14:paraId="542584CD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1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дополнить приложениями </w:t>
      </w:r>
      <w:hyperlink r:id="rId18" w:anchor="pr3" w:history="1">
        <w:r>
          <w:rPr>
            <w:rStyle w:val="a3"/>
            <w:rFonts w:ascii="Arial" w:hAnsi="Arial" w:cs="Arial"/>
          </w:rPr>
          <w:t>3</w:t>
        </w:r>
      </w:hyperlink>
      <w:r>
        <w:rPr>
          <w:rFonts w:ascii="Arial" w:hAnsi="Arial" w:cs="Arial"/>
        </w:rPr>
        <w:t xml:space="preserve"> и </w:t>
      </w:r>
      <w:hyperlink r:id="rId19" w:anchor="pr4" w:history="1">
        <w:r>
          <w:rPr>
            <w:rStyle w:val="a3"/>
            <w:rFonts w:ascii="Arial" w:hAnsi="Arial" w:cs="Arial"/>
          </w:rPr>
          <w:t>4</w:t>
        </w:r>
      </w:hyperlink>
      <w:r>
        <w:rPr>
          <w:rFonts w:ascii="Arial" w:hAnsi="Arial" w:cs="Arial"/>
        </w:rPr>
        <w:t xml:space="preserve">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D98D720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48ABC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B151B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5793C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"</w:t>
            </w:r>
            <w:hyperlink r:id="rId20" w:anchor="pr3" w:history="1">
              <w:r>
                <w:rPr>
                  <w:rStyle w:val="a3"/>
                  <w:rFonts w:ascii="Arial" w:hAnsi="Arial" w:cs="Arial"/>
                </w:rPr>
                <w:t>Приложение 3</w:t>
              </w:r>
            </w:hyperlink>
            <w:r>
              <w:rPr>
                <w:rFonts w:ascii="Arial" w:hAnsi="Arial" w:cs="Arial"/>
              </w:rPr>
              <w:br/>
              <w:t xml:space="preserve">к Положению "О выпуске, размещении, обращении и погашении нот Национального банка Кыргызской Республики", утвержденному </w:t>
            </w:r>
            <w:hyperlink r:id="rId21" w:history="1">
              <w:r>
                <w:rPr>
                  <w:rStyle w:val="a3"/>
                  <w:rFonts w:ascii="Arial" w:hAnsi="Arial" w:cs="Arial"/>
                </w:rPr>
                <w:t>постановлением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</w:t>
            </w:r>
            <w:r>
              <w:rPr>
                <w:rFonts w:ascii="Arial" w:hAnsi="Arial" w:cs="Arial"/>
              </w:rPr>
              <w:br/>
              <w:t>от 28 марта 2013 года № 10/6</w:t>
            </w:r>
          </w:p>
        </w:tc>
      </w:tr>
    </w:tbl>
    <w:p w14:paraId="7B81C8C7" w14:textId="77777777" w:rsidR="0071515D" w:rsidRDefault="0071515D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ЗАЯВКА</w:t>
      </w:r>
      <w:r>
        <w:rPr>
          <w:rFonts w:ascii="Arial" w:hAnsi="Arial" w:cs="Arial"/>
          <w:b/>
          <w:bCs/>
        </w:rPr>
        <w:br/>
        <w:t>на участие в аукционе нот Национального банка</w:t>
      </w:r>
    </w:p>
    <w:p w14:paraId="3D00788C" w14:textId="77777777" w:rsidR="0071515D" w:rsidRDefault="0071515D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Настоящим [наименование прямого участника аукциона], именуемое в дальнейшем "Участник", выражает готовность купить ноты Национального банка регистрационный номер ______________, на проводимом [дата проведения аукциона] аукционе на следующих условиях:</w:t>
      </w:r>
    </w:p>
    <w:p w14:paraId="561D6F3F" w14:textId="77777777" w:rsidR="0071515D" w:rsidRDefault="0071515D">
      <w:pPr>
        <w:spacing w:after="120" w:line="276" w:lineRule="auto"/>
        <w:ind w:firstLine="567"/>
        <w:jc w:val="both"/>
      </w:pPr>
      <w:r>
        <w:rPr>
          <w:rFonts w:ascii="Arial" w:hAnsi="Arial" w:cs="Arial"/>
        </w:rPr>
        <w:t>от своего имени: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1596"/>
        <w:gridCol w:w="4643"/>
        <w:gridCol w:w="2211"/>
      </w:tblGrid>
      <w:tr w:rsidR="00000000" w14:paraId="6A161CB2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9C4D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Собственная заявка</w:t>
            </w:r>
          </w:p>
        </w:tc>
      </w:tr>
      <w:tr w:rsidR="00000000" w14:paraId="5E52AC61" w14:textId="7777777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7D9FD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Конкурентная заявка</w:t>
            </w:r>
          </w:p>
        </w:tc>
      </w:tr>
      <w:tr w:rsidR="00000000" w14:paraId="09CC8F7C" w14:textId="77777777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BED9E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Лот №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77AD8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Цена покупки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0B65D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Количество нот Национального банка (шт.)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FE68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Стоимость покупки</w:t>
            </w:r>
          </w:p>
        </w:tc>
      </w:tr>
      <w:tr w:rsidR="00000000" w14:paraId="22FFD5D4" w14:textId="77777777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94844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5FF5F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28880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B57B0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4=2*3</w:t>
            </w:r>
          </w:p>
        </w:tc>
      </w:tr>
      <w:tr w:rsidR="00000000" w14:paraId="404FBDED" w14:textId="77777777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AE627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C5296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93E53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8DD55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</w:tr>
      <w:tr w:rsidR="00000000" w14:paraId="4A81538B" w14:textId="77777777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601D7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17FA8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0EBF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19080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</w:tr>
    </w:tbl>
    <w:p w14:paraId="5E6EDB8D" w14:textId="77777777" w:rsidR="0071515D" w:rsidRDefault="0071515D">
      <w:pPr>
        <w:spacing w:before="120" w:after="120" w:line="276" w:lineRule="auto"/>
        <w:ind w:firstLine="567"/>
        <w:jc w:val="both"/>
      </w:pPr>
      <w:r>
        <w:rPr>
          <w:rFonts w:ascii="Arial" w:hAnsi="Arial" w:cs="Arial"/>
        </w:rPr>
        <w:t>от имени своих клиентов: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1596"/>
        <w:gridCol w:w="4643"/>
        <w:gridCol w:w="2211"/>
      </w:tblGrid>
      <w:tr w:rsidR="00000000" w14:paraId="6858E052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9AB2E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Конкурентная заявка</w:t>
            </w:r>
          </w:p>
        </w:tc>
      </w:tr>
      <w:tr w:rsidR="00000000" w14:paraId="13F24815" w14:textId="77777777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2971C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Лот №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BE789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Цена покупки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4EDA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Количество нот Национального банка (шт.)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40A77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Стоимость покупки</w:t>
            </w:r>
          </w:p>
        </w:tc>
      </w:tr>
      <w:tr w:rsidR="00000000" w14:paraId="0486DDE6" w14:textId="77777777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400BB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CDB21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F489F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1C81E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4=2*3</w:t>
            </w:r>
          </w:p>
        </w:tc>
      </w:tr>
      <w:tr w:rsidR="00000000" w14:paraId="2E9BC85B" w14:textId="77777777"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B8078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C531B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2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D3901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C17E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</w:tr>
    </w:tbl>
    <w:p w14:paraId="29620CC6" w14:textId="77777777" w:rsidR="0071515D" w:rsidRDefault="0071515D">
      <w:pPr>
        <w:spacing w:before="120" w:after="60" w:line="276" w:lineRule="auto"/>
        <w:ind w:firstLine="567"/>
        <w:jc w:val="both"/>
      </w:pPr>
      <w:r>
        <w:rPr>
          <w:rFonts w:ascii="Arial" w:hAnsi="Arial" w:cs="Arial"/>
        </w:rPr>
        <w:t xml:space="preserve">Участник </w:t>
      </w:r>
      <w:r>
        <w:rPr>
          <w:rFonts w:ascii="Arial" w:hAnsi="Arial" w:cs="Arial"/>
        </w:rPr>
        <w:t>ознакомлен с правилами проведения аукциона и принимает на себя все обязательства, которые из них вытекают.</w:t>
      </w:r>
    </w:p>
    <w:p w14:paraId="3190C6DF" w14:textId="77777777" w:rsidR="0071515D" w:rsidRDefault="0071515D">
      <w:pPr>
        <w:spacing w:after="60" w:line="276" w:lineRule="auto"/>
        <w:ind w:firstLine="567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085"/>
        <w:gridCol w:w="3553"/>
        <w:gridCol w:w="2886"/>
      </w:tblGrid>
      <w:tr w:rsidR="00000000" w14:paraId="17C7D0F9" w14:textId="77777777">
        <w:tc>
          <w:tcPr>
            <w:tcW w:w="0" w:type="auto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A2A22AB" w14:textId="77777777" w:rsidR="0071515D" w:rsidRDefault="0071515D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________________________________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0C2CD" w14:textId="77777777" w:rsidR="0071515D" w:rsidRDefault="0071515D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E13A8" w14:textId="77777777" w:rsidR="0071515D" w:rsidRDefault="0071515D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DE10" w14:textId="77777777" w:rsidR="0071515D" w:rsidRDefault="0071515D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____________________</w:t>
            </w:r>
          </w:p>
        </w:tc>
      </w:tr>
      <w:tr w:rsidR="00000000" w14:paraId="1E54126F" w14:textId="77777777">
        <w:tc>
          <w:tcPr>
            <w:tcW w:w="0" w:type="auto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7A8AD08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(должность)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2FE2C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(подпись)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DB7E7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(ФИО)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4CB33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Дата</w:t>
            </w:r>
          </w:p>
        </w:tc>
      </w:tr>
    </w:tbl>
    <w:p w14:paraId="1A53FAEE" w14:textId="77777777" w:rsidR="0071515D" w:rsidRDefault="0071515D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1867"/>
        <w:gridCol w:w="5155"/>
      </w:tblGrid>
      <w:tr w:rsidR="00000000" w14:paraId="49EE39E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E3555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0D28C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A2870" w14:textId="77777777" w:rsidR="0071515D" w:rsidRDefault="0071515D">
            <w:pPr>
              <w:spacing w:after="60" w:line="276" w:lineRule="auto"/>
              <w:jc w:val="center"/>
            </w:pPr>
            <w:hyperlink r:id="rId22" w:anchor="pr4" w:history="1">
              <w:r>
                <w:rPr>
                  <w:rStyle w:val="a3"/>
                  <w:rFonts w:ascii="Arial" w:hAnsi="Arial" w:cs="Arial"/>
                </w:rPr>
                <w:t>Приложение 4</w:t>
              </w:r>
            </w:hyperlink>
            <w:r>
              <w:rPr>
                <w:rFonts w:ascii="Arial" w:hAnsi="Arial" w:cs="Arial"/>
              </w:rPr>
              <w:br/>
              <w:t xml:space="preserve">к Положению "О выпуске, размещении, обращении и погашении нот Национального банка Кыргызской Республики", утвержденному </w:t>
            </w:r>
            <w:hyperlink r:id="rId23" w:history="1">
              <w:r>
                <w:rPr>
                  <w:rStyle w:val="a3"/>
                  <w:rFonts w:ascii="Arial" w:hAnsi="Arial" w:cs="Arial"/>
                </w:rPr>
                <w:t>постановлением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</w:t>
            </w:r>
            <w:r>
              <w:rPr>
                <w:rFonts w:ascii="Arial" w:hAnsi="Arial" w:cs="Arial"/>
              </w:rPr>
              <w:br/>
              <w:t>от 28 марта 2013 года № 10/6</w:t>
            </w:r>
          </w:p>
        </w:tc>
      </w:tr>
      <w:tr w:rsidR="00000000" w14:paraId="5A0DCE8E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F9434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56774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EC1CD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 w14:paraId="05086FE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0BCE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3BF18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6CCB7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_____________________________________</w:t>
            </w:r>
          </w:p>
        </w:tc>
      </w:tr>
      <w:tr w:rsidR="00000000" w14:paraId="6EB3D76E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8FE0E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72777" w14:textId="77777777" w:rsidR="0071515D" w:rsidRDefault="0071515D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1EBE7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(наименование участника)</w:t>
            </w:r>
          </w:p>
        </w:tc>
      </w:tr>
    </w:tbl>
    <w:p w14:paraId="045C80FD" w14:textId="77777777" w:rsidR="0071515D" w:rsidRDefault="0071515D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УВЕДОМЛЕНИЕ</w:t>
      </w:r>
    </w:p>
    <w:p w14:paraId="6BCD1E48" w14:textId="77777777" w:rsidR="0071515D" w:rsidRDefault="0071515D">
      <w:pPr>
        <w:spacing w:after="120" w:line="276" w:lineRule="auto"/>
        <w:ind w:firstLine="567"/>
        <w:jc w:val="both"/>
      </w:pPr>
      <w:r>
        <w:rPr>
          <w:rFonts w:ascii="Arial" w:hAnsi="Arial" w:cs="Arial"/>
        </w:rPr>
        <w:t xml:space="preserve">Настоящим </w:t>
      </w:r>
      <w:r>
        <w:rPr>
          <w:rFonts w:ascii="Arial" w:hAnsi="Arial" w:cs="Arial"/>
        </w:rPr>
        <w:t>Национальный банк Кыргызской Республики уведомляет, что по итогам аукциона по продаже нот Национального банка, состоявшегося "___" _________________ 20__ г., Ваша заявка удовлетворена в следующем объеме: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4"/>
        <w:gridCol w:w="3643"/>
        <w:gridCol w:w="2608"/>
      </w:tblGrid>
      <w:tr w:rsidR="00000000" w14:paraId="3456A8B6" w14:textId="77777777">
        <w:tc>
          <w:tcPr>
            <w:tcW w:w="16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FAF16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Регистрационный номер</w:t>
            </w:r>
          </w:p>
        </w:tc>
        <w:tc>
          <w:tcPr>
            <w:tcW w:w="33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CAD71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Всего</w:t>
            </w:r>
          </w:p>
        </w:tc>
      </w:tr>
      <w:tr w:rsidR="00000000" w14:paraId="267C2491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30DE1" w14:textId="77777777" w:rsidR="0071515D" w:rsidRDefault="0071515D"/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860AE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Количество нот Национального банка (шт.)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1DB70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000000" w14:paraId="25548414" w14:textId="77777777">
        <w:tc>
          <w:tcPr>
            <w:tcW w:w="16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39018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B8BC9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E7829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</w:tr>
    </w:tbl>
    <w:p w14:paraId="365BBC2C" w14:textId="77777777" w:rsidR="0071515D" w:rsidRDefault="0071515D">
      <w:pPr>
        <w:spacing w:before="240" w:after="240" w:line="276" w:lineRule="auto"/>
        <w:jc w:val="center"/>
      </w:pPr>
      <w:r>
        <w:rPr>
          <w:rFonts w:ascii="Arial" w:hAnsi="Arial" w:cs="Arial"/>
          <w:b/>
          <w:bCs/>
        </w:rPr>
        <w:t>РЕЗУЛЬТАТЫ АУКЦИОНА НОТ НАЦИОНАЛЬНОГО БАНКА</w:t>
      </w:r>
      <w:r>
        <w:rPr>
          <w:rFonts w:ascii="Arial" w:hAnsi="Arial" w:cs="Arial"/>
          <w:b/>
          <w:bCs/>
        </w:rPr>
        <w:br/>
        <w:t>от "___" _____________________ 20__ г.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3"/>
        <w:gridCol w:w="1512"/>
        <w:gridCol w:w="1055"/>
        <w:gridCol w:w="1111"/>
        <w:gridCol w:w="848"/>
        <w:gridCol w:w="849"/>
        <w:gridCol w:w="753"/>
        <w:gridCol w:w="1657"/>
        <w:gridCol w:w="940"/>
      </w:tblGrid>
      <w:tr w:rsidR="00000000" w14:paraId="733CC65E" w14:textId="77777777">
        <w:tc>
          <w:tcPr>
            <w:tcW w:w="7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EB3B4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Регистрац. номер</w:t>
            </w:r>
          </w:p>
        </w:tc>
        <w:tc>
          <w:tcPr>
            <w:tcW w:w="7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10AC8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Объявлен. объем</w:t>
            </w:r>
          </w:p>
        </w:tc>
        <w:tc>
          <w:tcPr>
            <w:tcW w:w="6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78762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Объем спроса</w:t>
            </w:r>
          </w:p>
        </w:tc>
        <w:tc>
          <w:tcPr>
            <w:tcW w:w="6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15D4B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Объем продаж</w:t>
            </w:r>
          </w:p>
        </w:tc>
        <w:tc>
          <w:tcPr>
            <w:tcW w:w="8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4E3E8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Цены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81711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Доходность (%)</w:t>
            </w:r>
          </w:p>
        </w:tc>
        <w:tc>
          <w:tcPr>
            <w:tcW w:w="5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9D492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Кол-во участ.</w:t>
            </w:r>
          </w:p>
        </w:tc>
      </w:tr>
      <w:tr w:rsidR="00000000" w14:paraId="48D11C92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30279" w14:textId="77777777" w:rsidR="0071515D" w:rsidRDefault="0071515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2E5C1" w14:textId="77777777" w:rsidR="0071515D" w:rsidRDefault="0071515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4D217" w14:textId="77777777" w:rsidR="0071515D" w:rsidRDefault="0071515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C7FF0" w14:textId="77777777" w:rsidR="0071515D" w:rsidRDefault="0071515D"/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5143F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макс.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68AAE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сред.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30E39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мин.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598D0" w14:textId="77777777" w:rsidR="0071515D" w:rsidRDefault="0071515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46A5D" w14:textId="77777777" w:rsidR="0071515D" w:rsidRDefault="0071515D"/>
        </w:tc>
      </w:tr>
      <w:tr w:rsidR="00000000" w14:paraId="75301DF5" w14:textId="77777777">
        <w:tc>
          <w:tcPr>
            <w:tcW w:w="7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DC04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4A2A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3F664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01898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C56E3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E20E0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0061F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79772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9D57F" w14:textId="77777777" w:rsidR="0071515D" w:rsidRDefault="0071515D">
            <w:pPr>
              <w:spacing w:after="60" w:line="276" w:lineRule="auto"/>
            </w:pPr>
            <w:r>
              <w:t> </w:t>
            </w:r>
          </w:p>
        </w:tc>
      </w:tr>
    </w:tbl>
    <w:p w14:paraId="51FA4261" w14:textId="77777777" w:rsidR="0071515D" w:rsidRDefault="0071515D">
      <w:pPr>
        <w:spacing w:after="60" w:line="276" w:lineRule="auto"/>
        <w:ind w:firstLine="567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2753"/>
        <w:gridCol w:w="4488"/>
      </w:tblGrid>
      <w:tr w:rsidR="00000000" w14:paraId="16D072AC" w14:textId="77777777">
        <w:tc>
          <w:tcPr>
            <w:tcW w:w="0" w:type="auto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8D15F2E" w14:textId="77777777" w:rsidR="0071515D" w:rsidRDefault="0071515D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Начальник ОРРЦБ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D1651" w14:textId="77777777" w:rsidR="0071515D" w:rsidRDefault="0071515D">
            <w:pPr>
              <w:spacing w:after="60" w:line="276" w:lineRule="auto"/>
            </w:pPr>
            <w:r>
              <w:rPr>
                <w:rFonts w:ascii="Arial" w:hAnsi="Arial" w:cs="Arial"/>
              </w:rPr>
              <w:t>__________</w:t>
            </w:r>
            <w:r>
              <w:rPr>
                <w:rFonts w:ascii="Arial" w:hAnsi="Arial" w:cs="Arial"/>
                <w:lang w:val="en-US"/>
              </w:rPr>
              <w:t>___</w:t>
            </w:r>
            <w:r>
              <w:rPr>
                <w:rFonts w:ascii="Arial" w:hAnsi="Arial" w:cs="Arial"/>
              </w:rPr>
              <w:t>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DFA84" w14:textId="77777777" w:rsidR="0071515D" w:rsidRDefault="0071515D">
            <w:pPr>
              <w:spacing w:after="60" w:line="276" w:lineRule="auto"/>
            </w:pPr>
            <w:r>
              <w:rPr>
                <w:rFonts w:ascii="Arial" w:hAnsi="Arial" w:cs="Arial"/>
                <w:lang w:val="en-US"/>
              </w:rPr>
              <w:t>______</w:t>
            </w:r>
            <w:r>
              <w:rPr>
                <w:rFonts w:ascii="Arial" w:hAnsi="Arial" w:cs="Arial"/>
              </w:rPr>
              <w:t>__________________________</w:t>
            </w:r>
          </w:p>
        </w:tc>
      </w:tr>
      <w:tr w:rsidR="00000000" w14:paraId="228CE5E5" w14:textId="77777777">
        <w:tc>
          <w:tcPr>
            <w:tcW w:w="0" w:type="auto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5CBE65B" w14:textId="77777777" w:rsidR="0071515D" w:rsidRDefault="0071515D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121E7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(подпись)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E6386" w14:textId="77777777" w:rsidR="0071515D" w:rsidRDefault="0071515D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(ФИО)".</w:t>
            </w:r>
          </w:p>
        </w:tc>
      </w:tr>
    </w:tbl>
    <w:p w14:paraId="125C5058" w14:textId="77777777" w:rsidR="0071515D" w:rsidRDefault="0071515D">
      <w:pPr>
        <w:spacing w:after="60" w:line="276" w:lineRule="auto"/>
        <w:ind w:firstLine="567"/>
        <w:jc w:val="both"/>
      </w:pPr>
      <w:r>
        <w:t> </w:t>
      </w:r>
    </w:p>
    <w:p w14:paraId="7A8304C0" w14:textId="77777777" w:rsidR="0071515D" w:rsidRDefault="0071515D">
      <w:pPr>
        <w:spacing w:after="120"/>
        <w:jc w:val="both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15D"/>
    <w:rsid w:val="0071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DBD2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613" TargetMode="External"/><Relationship Id="rId13" Type="http://schemas.openxmlformats.org/officeDocument/2006/relationships/hyperlink" Target="https://cbd.minjust.gov.kg/302613" TargetMode="External"/><Relationship Id="rId18" Type="http://schemas.openxmlformats.org/officeDocument/2006/relationships/hyperlink" Target="https://cbd.minjust.gov.kg/30261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613" TargetMode="External"/><Relationship Id="rId7" Type="http://schemas.openxmlformats.org/officeDocument/2006/relationships/hyperlink" Target="https://cbd.minjust.gov.kg/800771" TargetMode="External"/><Relationship Id="rId12" Type="http://schemas.openxmlformats.org/officeDocument/2006/relationships/hyperlink" Target="https://cbd.minjust.gov.kg/302614" TargetMode="External"/><Relationship Id="rId17" Type="http://schemas.openxmlformats.org/officeDocument/2006/relationships/hyperlink" Target="https://cbd.minjust.gov.kg/30261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614" TargetMode="External"/><Relationship Id="rId20" Type="http://schemas.openxmlformats.org/officeDocument/2006/relationships/hyperlink" Target="https://cbd.minjust.gov.kg/30261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2614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02614" TargetMode="External"/><Relationship Id="rId23" Type="http://schemas.openxmlformats.org/officeDocument/2006/relationships/hyperlink" Target="https://cbd.minjust.gov.kg/302613" TargetMode="External"/><Relationship Id="rId10" Type="http://schemas.openxmlformats.org/officeDocument/2006/relationships/hyperlink" Target="https://cbd.minjust.gov.kg/302613" TargetMode="External"/><Relationship Id="rId19" Type="http://schemas.openxmlformats.org/officeDocument/2006/relationships/hyperlink" Target="https://cbd.minjust.gov.kg/302614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614" TargetMode="External"/><Relationship Id="rId14" Type="http://schemas.openxmlformats.org/officeDocument/2006/relationships/hyperlink" Target="https://cbd.minjust.gov.kg/302614" TargetMode="External"/><Relationship Id="rId22" Type="http://schemas.openxmlformats.org/officeDocument/2006/relationships/hyperlink" Target="https://cbd.minjust.gov.kg/3026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1248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