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FC256" w14:textId="77777777" w:rsidR="00F53720" w:rsidRDefault="00F53720">
      <w:pPr>
        <w:spacing w:after="480"/>
        <w:jc w:val="center"/>
      </w:pPr>
      <w:r>
        <w:rPr>
          <w:b/>
          <w:bCs/>
          <w:noProof/>
        </w:rPr>
        <w:drawing>
          <wp:inline distT="0" distB="0" distL="0" distR="0" wp14:anchorId="5BCF0B70" wp14:editId="30F6B143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F0879" w14:textId="77777777" w:rsidR="00F53720" w:rsidRDefault="00F53720">
      <w:pPr>
        <w:spacing w:after="480"/>
        <w:jc w:val="center"/>
      </w:pPr>
      <w:r>
        <w:rPr>
          <w:b/>
          <w:bCs/>
          <w:spacing w:val="5"/>
          <w:sz w:val="32"/>
          <w:szCs w:val="32"/>
        </w:rPr>
        <w:t>ПОСТАНОВЛЕНИЕ ПРАВЛЕНИЯ НАЦИОНАЛЬНОГО БАНКА КЫРГЫЗСКОЙ РЕСПУБЛИКИ</w:t>
      </w:r>
    </w:p>
    <w:p w14:paraId="126502BF" w14:textId="77777777" w:rsidR="00F53720" w:rsidRDefault="00F53720">
      <w:pPr>
        <w:pStyle w:val="af9"/>
      </w:pPr>
      <w:r>
        <w:t>от 8 сентября 2021 года № 2021-П-14/50-2-(ПС)</w:t>
      </w:r>
    </w:p>
    <w:p w14:paraId="4827055F" w14:textId="77777777" w:rsidR="00F53720" w:rsidRDefault="00F53720">
      <w:pPr>
        <w:pStyle w:val="a9"/>
      </w:pPr>
      <w:r>
        <w:t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 w14:paraId="1C05D8E4" w14:textId="77777777" w:rsidR="00F53720" w:rsidRDefault="00F53720">
      <w:r>
        <w:t xml:space="preserve">В соответствии со статьями 20 и 68 </w:t>
      </w:r>
      <w:hyperlink r:id="rId5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14:paraId="275E7254" w14:textId="77777777" w:rsidR="00F53720" w:rsidRDefault="00F53720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7" w:history="1">
        <w:r>
          <w:rPr>
            <w:rStyle w:val="a3"/>
          </w:rPr>
          <w:t>Государственного классификатора</w:t>
        </w:r>
      </w:hyperlink>
      <w:r>
        <w:t xml:space="preserve"> платежного оборота" от 30 ноября 2007 года № 51/4 следующие </w:t>
      </w:r>
      <w:hyperlink r:id="rId8" w:anchor="pr1" w:history="1">
        <w:r>
          <w:rPr>
            <w:rStyle w:val="a3"/>
          </w:rPr>
          <w:t>изменения</w:t>
        </w:r>
      </w:hyperlink>
      <w:r>
        <w:t xml:space="preserve"> (прилагается).</w:t>
      </w:r>
    </w:p>
    <w:p w14:paraId="6D54CFA3" w14:textId="77777777" w:rsidR="00F53720" w:rsidRDefault="00F53720">
      <w:r>
        <w:t>2. Юридическому управлению:</w:t>
      </w:r>
    </w:p>
    <w:p w14:paraId="69AE9939" w14:textId="77777777" w:rsidR="00F53720" w:rsidRDefault="00F53720"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6A390708" w14:textId="77777777" w:rsidR="00F53720" w:rsidRDefault="00F53720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28CFAA41" w14:textId="77777777" w:rsidR="00F53720" w:rsidRDefault="00F53720">
      <w:r>
        <w:t>3. Настоящее постановление вступает в силу по истечении пятнадцати дней со дня официального опубликования.</w:t>
      </w:r>
    </w:p>
    <w:p w14:paraId="41C34C1E" w14:textId="77777777" w:rsidR="00F53720" w:rsidRDefault="00F53720">
      <w:r>
        <w:t>4.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 w14:paraId="7C4BDFD4" w14:textId="77777777" w:rsidR="00F53720" w:rsidRDefault="00F53720">
      <w:r>
        <w:t>5. Управлению платежных систем:</w:t>
      </w:r>
    </w:p>
    <w:p w14:paraId="05D6CC6B" w14:textId="77777777" w:rsidR="00F53720" w:rsidRDefault="00F53720">
      <w:r>
        <w:t>- довести настоящее постановление до сведения Министерства экономики и финансов Кыргызской Республики, Центральной комиссии по выборам и проведению референдумов Кыргызской Республики и коммерческих банков Кыргызской Республики;</w:t>
      </w:r>
    </w:p>
    <w:p w14:paraId="1C6CD6DA" w14:textId="77777777" w:rsidR="00F53720" w:rsidRDefault="00F53720">
      <w:r>
        <w:t>- направить настоящее постановление в Центр по стандартизации и метрологии при Министерстве экономики и финансов Кыргызской Республики для последующей государственной регистрации в установленном порядке.</w:t>
      </w:r>
    </w:p>
    <w:p w14:paraId="167B2298" w14:textId="77777777" w:rsidR="00F53720" w:rsidRDefault="00F53720">
      <w:r>
        <w:t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 w14:paraId="0CEAD9F1" w14:textId="77777777" w:rsidR="00F53720" w:rsidRDefault="00F53720">
      <w:pPr>
        <w:spacing w:after="60" w:line="276" w:lineRule="auto"/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A826146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7B949" w14:textId="77777777" w:rsidR="00F53720" w:rsidRDefault="00F53720">
            <w:pPr>
              <w:spacing w:after="60" w:line="276" w:lineRule="auto"/>
              <w:ind w:firstLine="0"/>
            </w:pPr>
            <w:r>
              <w:rPr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BEAFB" w14:textId="77777777" w:rsidR="00F53720" w:rsidRDefault="00F53720">
            <w:pPr>
              <w:spacing w:after="60" w:line="276" w:lineRule="auto"/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16DA75DA" w14:textId="77777777" w:rsidR="00F53720" w:rsidRDefault="00F53720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3BB8F871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7E13E" w14:textId="77777777" w:rsidR="00F53720" w:rsidRDefault="00F53720">
            <w:pPr>
              <w:pStyle w:val="af9"/>
              <w:jc w:val="right"/>
            </w:pPr>
            <w:bookmarkStart w:id="0" w:name="pr1"/>
            <w:r>
              <w:t>Приложение</w:t>
            </w:r>
            <w:bookmarkEnd w:id="0"/>
            <w:r>
              <w:br/>
              <w:t xml:space="preserve">к </w:t>
            </w:r>
            <w:hyperlink r:id="rId9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 Национального банка Кыргызской Республики</w:t>
            </w:r>
            <w:r>
              <w:br/>
              <w:t>от 8 сентября 2021 года № 2021-П-14/50-2-(ПС)</w:t>
            </w:r>
          </w:p>
        </w:tc>
      </w:tr>
    </w:tbl>
    <w:p w14:paraId="421FD6A0" w14:textId="77777777" w:rsidR="00F53720" w:rsidRDefault="00F53720">
      <w:pPr>
        <w:pStyle w:val="tkNazvanie"/>
      </w:pPr>
      <w:r>
        <w:t>ИЗМЕНЕНИЯ</w:t>
      </w:r>
      <w:r>
        <w:br/>
        <w:t>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 w14:paraId="5A798E37" w14:textId="77777777" w:rsidR="00F53720" w:rsidRDefault="00F53720">
      <w:pPr>
        <w:pStyle w:val="tkTekst"/>
      </w:pPr>
      <w:r>
        <w:rPr>
          <w:sz w:val="24"/>
          <w:szCs w:val="24"/>
        </w:rPr>
        <w:t xml:space="preserve">Внести в </w:t>
      </w:r>
      <w:hyperlink r:id="rId10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</w:t>
      </w:r>
      <w:r>
        <w:rPr>
          <w:sz w:val="24"/>
          <w:szCs w:val="24"/>
        </w:rPr>
        <w:t xml:space="preserve">Республики "Об утверждении </w:t>
      </w:r>
      <w:hyperlink r:id="rId11" w:history="1">
        <w:r>
          <w:rPr>
            <w:rStyle w:val="a3"/>
            <w:sz w:val="24"/>
            <w:szCs w:val="24"/>
          </w:rPr>
          <w:t>Государственного классификатора</w:t>
        </w:r>
      </w:hyperlink>
      <w:r>
        <w:rPr>
          <w:sz w:val="24"/>
          <w:szCs w:val="24"/>
        </w:rPr>
        <w:t xml:space="preserve"> платежного оборота" от 30 ноября 2007 года № 51/4 следующие изменения:</w:t>
      </w:r>
    </w:p>
    <w:p w14:paraId="0451C8DF" w14:textId="77777777" w:rsidR="00F53720" w:rsidRDefault="00F53720">
      <w:pPr>
        <w:pStyle w:val="tkTekst"/>
      </w:pPr>
      <w:r>
        <w:rPr>
          <w:sz w:val="24"/>
          <w:szCs w:val="24"/>
        </w:rPr>
        <w:t xml:space="preserve">в </w:t>
      </w:r>
      <w:hyperlink r:id="rId12" w:history="1">
        <w:r>
          <w:rPr>
            <w:rStyle w:val="a3"/>
            <w:sz w:val="24"/>
            <w:szCs w:val="24"/>
          </w:rPr>
          <w:t>Государственном классификаторе</w:t>
        </w:r>
      </w:hyperlink>
      <w:r>
        <w:rPr>
          <w:sz w:val="24"/>
          <w:szCs w:val="24"/>
        </w:rPr>
        <w:t xml:space="preserve"> платежного оборота, утвержденном вышеуказанным </w:t>
      </w:r>
      <w:hyperlink r:id="rId13" w:history="1">
        <w:r>
          <w:rPr>
            <w:rStyle w:val="a3"/>
            <w:sz w:val="24"/>
            <w:szCs w:val="24"/>
          </w:rPr>
          <w:t>постановлением</w:t>
        </w:r>
      </w:hyperlink>
      <w:r>
        <w:rPr>
          <w:sz w:val="24"/>
          <w:szCs w:val="24"/>
        </w:rPr>
        <w:t>:</w:t>
      </w:r>
    </w:p>
    <w:p w14:paraId="5093D446" w14:textId="77777777" w:rsidR="00F53720" w:rsidRDefault="00F53720">
      <w:pPr>
        <w:pStyle w:val="tkTekst"/>
      </w:pPr>
      <w:r>
        <w:rPr>
          <w:sz w:val="24"/>
          <w:szCs w:val="24"/>
        </w:rPr>
        <w:t>- в таблице раздел 4 "Платежи за товары и услуги, активы и обязательства небюджетных учреждений и физических лиц":</w:t>
      </w:r>
    </w:p>
    <w:p w14:paraId="52436349" w14:textId="77777777" w:rsidR="00F53720" w:rsidRDefault="00F53720">
      <w:pPr>
        <w:pStyle w:val="tkTekst"/>
      </w:pPr>
      <w:r>
        <w:rPr>
          <w:sz w:val="24"/>
          <w:szCs w:val="24"/>
        </w:rPr>
        <w:t>группу 411 "Товары, не включенные в другие категории" изложить в следующей редакции:</w:t>
      </w:r>
    </w:p>
    <w:p w14:paraId="7E44C9E6" w14:textId="77777777" w:rsidR="00F53720" w:rsidRDefault="00F53720">
      <w:pPr>
        <w:pStyle w:val="tkTekst"/>
        <w:spacing w:after="120"/>
        <w:ind w:firstLine="0"/>
      </w:pPr>
      <w:r>
        <w:rPr>
          <w:sz w:val="24"/>
          <w:szCs w:val="24"/>
        </w:rP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1"/>
        <w:gridCol w:w="7354"/>
      </w:tblGrid>
      <w:tr w:rsidR="00000000" w14:paraId="2B649984" w14:textId="77777777">
        <w:tc>
          <w:tcPr>
            <w:tcW w:w="10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2695A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41100000</w:t>
            </w:r>
          </w:p>
        </w:tc>
        <w:tc>
          <w:tcPr>
            <w:tcW w:w="39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071A4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Товары, не включенные в другие категории</w:t>
            </w:r>
          </w:p>
        </w:tc>
      </w:tr>
      <w:tr w:rsidR="00000000" w14:paraId="71AE3BD6" w14:textId="77777777">
        <w:tc>
          <w:tcPr>
            <w:tcW w:w="10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216DF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41100100</w:t>
            </w:r>
          </w:p>
        </w:tc>
        <w:tc>
          <w:tcPr>
            <w:tcW w:w="3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45283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Почтовые пакеты, не классифицированные по типу</w:t>
            </w:r>
          </w:p>
        </w:tc>
      </w:tr>
      <w:tr w:rsidR="00000000" w14:paraId="705A2C88" w14:textId="77777777">
        <w:tc>
          <w:tcPr>
            <w:tcW w:w="10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A6F30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41100200</w:t>
            </w:r>
          </w:p>
        </w:tc>
        <w:tc>
          <w:tcPr>
            <w:tcW w:w="3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85464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Специальные операции и товары, не классифицированные по типу</w:t>
            </w:r>
          </w:p>
        </w:tc>
      </w:tr>
      <w:tr w:rsidR="00000000" w14:paraId="1B4BAAD4" w14:textId="77777777">
        <w:tc>
          <w:tcPr>
            <w:tcW w:w="10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B640D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41100300</w:t>
            </w:r>
          </w:p>
        </w:tc>
        <w:tc>
          <w:tcPr>
            <w:tcW w:w="3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A304D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Золото, немонетарное (кроме золотых руд и концентратов)</w:t>
            </w:r>
          </w:p>
        </w:tc>
      </w:tr>
      <w:tr w:rsidR="00000000" w14:paraId="64837FBF" w14:textId="77777777">
        <w:tc>
          <w:tcPr>
            <w:tcW w:w="10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54AFA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41100400</w:t>
            </w:r>
          </w:p>
        </w:tc>
        <w:tc>
          <w:tcPr>
            <w:tcW w:w="3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A28FF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Приобретение канцелярских товаров</w:t>
            </w:r>
          </w:p>
        </w:tc>
      </w:tr>
      <w:tr w:rsidR="00000000" w14:paraId="400D2312" w14:textId="77777777">
        <w:tc>
          <w:tcPr>
            <w:tcW w:w="10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8BCAC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41100500</w:t>
            </w:r>
          </w:p>
        </w:tc>
        <w:tc>
          <w:tcPr>
            <w:tcW w:w="3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AD6BE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Приобретение ГСМ (бензин, дизель и прочее топливо)</w:t>
            </w:r>
          </w:p>
        </w:tc>
      </w:tr>
      <w:tr w:rsidR="00000000" w14:paraId="2F325931" w14:textId="77777777">
        <w:tc>
          <w:tcPr>
            <w:tcW w:w="10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74088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41100600</w:t>
            </w:r>
          </w:p>
        </w:tc>
        <w:tc>
          <w:tcPr>
            <w:tcW w:w="3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376D3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Приобретение запасных частей</w:t>
            </w:r>
          </w:p>
        </w:tc>
      </w:tr>
    </w:tbl>
    <w:p w14:paraId="39946CCA" w14:textId="77777777" w:rsidR="00F53720" w:rsidRDefault="00F53720">
      <w:pPr>
        <w:pStyle w:val="tkTekst"/>
        <w:spacing w:before="120"/>
        <w:jc w:val="right"/>
      </w:pPr>
      <w:r>
        <w:rPr>
          <w:sz w:val="24"/>
          <w:szCs w:val="24"/>
        </w:rPr>
        <w:t>";</w:t>
      </w:r>
    </w:p>
    <w:p w14:paraId="0E1E5FDF" w14:textId="77777777" w:rsidR="00F53720" w:rsidRDefault="00F53720">
      <w:pPr>
        <w:pStyle w:val="tkTekst"/>
      </w:pPr>
      <w:r>
        <w:rPr>
          <w:sz w:val="24"/>
          <w:szCs w:val="24"/>
        </w:rPr>
        <w:t>категорию 46 "Услуги средств массовой информации" изложить в следующей редакции:</w:t>
      </w:r>
    </w:p>
    <w:p w14:paraId="3E50A35C" w14:textId="77777777" w:rsidR="00F53720" w:rsidRDefault="00F53720">
      <w:pPr>
        <w:pStyle w:val="tkTekst"/>
        <w:spacing w:after="120"/>
        <w:ind w:firstLine="0"/>
      </w:pPr>
      <w:r>
        <w:rPr>
          <w:sz w:val="24"/>
          <w:szCs w:val="24"/>
        </w:rP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5"/>
        <w:gridCol w:w="7330"/>
      </w:tblGrid>
      <w:tr w:rsidR="00000000" w14:paraId="5464E01C" w14:textId="77777777">
        <w:tc>
          <w:tcPr>
            <w:tcW w:w="10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7E6DA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46000000</w:t>
            </w:r>
          </w:p>
        </w:tc>
        <w:tc>
          <w:tcPr>
            <w:tcW w:w="39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FF848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Услуги средств массовой информации</w:t>
            </w:r>
          </w:p>
        </w:tc>
      </w:tr>
      <w:tr w:rsidR="00000000" w14:paraId="3A268B35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6790D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46001100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EAA42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 xml:space="preserve">Услуги </w:t>
            </w:r>
            <w:r>
              <w:rPr>
                <w:sz w:val="24"/>
                <w:szCs w:val="24"/>
              </w:rPr>
              <w:t>средств массовой информации</w:t>
            </w:r>
          </w:p>
        </w:tc>
      </w:tr>
      <w:tr w:rsidR="00000000" w14:paraId="275BA194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732F0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46001200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A145A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Услуги типографии</w:t>
            </w:r>
          </w:p>
        </w:tc>
      </w:tr>
      <w:tr w:rsidR="00000000" w14:paraId="2CA2BB57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27F4A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46001300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9E929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Рекламно-издательские услуги</w:t>
            </w:r>
          </w:p>
        </w:tc>
      </w:tr>
      <w:tr w:rsidR="00000000" w14:paraId="0035477E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9B7B1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46001400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8FF40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Услуги по изготовлению информационных материалов для избирателей с ограниченными возможностями здоровья</w:t>
            </w:r>
          </w:p>
        </w:tc>
      </w:tr>
      <w:tr w:rsidR="00000000" w14:paraId="36A2FB68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46F63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46001900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1EECD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Прочие услуги</w:t>
            </w:r>
          </w:p>
        </w:tc>
      </w:tr>
    </w:tbl>
    <w:p w14:paraId="25939508" w14:textId="77777777" w:rsidR="00F53720" w:rsidRDefault="00F53720">
      <w:pPr>
        <w:pStyle w:val="tkTekst"/>
        <w:spacing w:before="120"/>
        <w:jc w:val="right"/>
      </w:pPr>
      <w:r>
        <w:rPr>
          <w:sz w:val="24"/>
          <w:szCs w:val="24"/>
        </w:rPr>
        <w:t>";</w:t>
      </w:r>
    </w:p>
    <w:p w14:paraId="29C91BFD" w14:textId="77777777" w:rsidR="00F53720" w:rsidRDefault="00F53720">
      <w:pPr>
        <w:pStyle w:val="tkTekst"/>
      </w:pPr>
      <w:r>
        <w:rPr>
          <w:sz w:val="24"/>
          <w:szCs w:val="24"/>
        </w:rPr>
        <w:t>группу 552 "Платежи и переводы" изложить в следующей редакции:</w:t>
      </w:r>
    </w:p>
    <w:p w14:paraId="234388B6" w14:textId="77777777" w:rsidR="00F53720" w:rsidRDefault="00F53720">
      <w:pPr>
        <w:pStyle w:val="tkTekst"/>
        <w:ind w:firstLine="0"/>
      </w:pPr>
      <w:r>
        <w:rPr>
          <w:sz w:val="24"/>
          <w:szCs w:val="24"/>
        </w:rP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5"/>
        <w:gridCol w:w="7330"/>
      </w:tblGrid>
      <w:tr w:rsidR="00000000" w14:paraId="0B731E42" w14:textId="77777777">
        <w:tc>
          <w:tcPr>
            <w:tcW w:w="10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072C0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55200000</w:t>
            </w:r>
          </w:p>
        </w:tc>
        <w:tc>
          <w:tcPr>
            <w:tcW w:w="39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F1846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Платежи и переводы</w:t>
            </w:r>
          </w:p>
        </w:tc>
      </w:tr>
      <w:tr w:rsidR="00000000" w14:paraId="471E8264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C81F2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55201000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2150E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Межбанковские переводы</w:t>
            </w:r>
          </w:p>
        </w:tc>
      </w:tr>
      <w:tr w:rsidR="00000000" w14:paraId="21ECF7DC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D1B07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55202000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2E08A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Обмен активами</w:t>
            </w:r>
          </w:p>
        </w:tc>
      </w:tr>
      <w:tr w:rsidR="00000000" w14:paraId="1CBC2058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D71CA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55203000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31512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Пополнение счета</w:t>
            </w:r>
          </w:p>
        </w:tc>
      </w:tr>
      <w:tr w:rsidR="00000000" w14:paraId="1E62634A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18A69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55204000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7D210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Оплата за обслуживание счета</w:t>
            </w:r>
          </w:p>
        </w:tc>
      </w:tr>
      <w:tr w:rsidR="00000000" w14:paraId="19A8FC0C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7DF8E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55205000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823F9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 xml:space="preserve">Оплата </w:t>
            </w:r>
            <w:r>
              <w:rPr>
                <w:sz w:val="24"/>
                <w:szCs w:val="24"/>
              </w:rPr>
              <w:t>за обналичивание валюты</w:t>
            </w:r>
          </w:p>
        </w:tc>
      </w:tr>
      <w:tr w:rsidR="00000000" w14:paraId="218CDA7A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A241E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55206000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83884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Оплата за услуги оператора межбанковской клиринговой системы</w:t>
            </w:r>
          </w:p>
        </w:tc>
      </w:tr>
      <w:tr w:rsidR="00000000" w14:paraId="55734AFD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63F79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55207000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DC24A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Оплата за гросс</w:t>
            </w:r>
          </w:p>
        </w:tc>
      </w:tr>
      <w:tr w:rsidR="00000000" w14:paraId="1A8C9B48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0B3A6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55208000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8C077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Плата за несоблюдение Обязательных Резервных Требований</w:t>
            </w:r>
          </w:p>
        </w:tc>
      </w:tr>
      <w:tr w:rsidR="00000000" w14:paraId="7DAEB879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DCAFC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55209000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0F75F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 xml:space="preserve">Компенсация за соблюдение </w:t>
            </w:r>
            <w:r>
              <w:rPr>
                <w:sz w:val="24"/>
                <w:szCs w:val="24"/>
              </w:rPr>
              <w:t>Обязательных Резервных Требований</w:t>
            </w:r>
          </w:p>
        </w:tc>
      </w:tr>
      <w:tr w:rsidR="00000000" w14:paraId="5C615EC8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7E64E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55210000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B0AFE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Возврат ошибочно или излишне перечисленной суммы денежных средств</w:t>
            </w:r>
          </w:p>
        </w:tc>
      </w:tr>
      <w:tr w:rsidR="00000000" w14:paraId="6619157E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DF474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55211000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7B8CA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Возврат денежных средств, в связи с неверно указанными реквизитами в платежном поручении (сторно)</w:t>
            </w:r>
          </w:p>
        </w:tc>
      </w:tr>
      <w:tr w:rsidR="00000000" w14:paraId="7A3829B4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A6321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55212000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9D976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Закрытие сальдо текущего счета Казначейства</w:t>
            </w:r>
          </w:p>
        </w:tc>
      </w:tr>
      <w:tr w:rsidR="00000000" w14:paraId="09CA0B6B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4D42D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55213000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CB0DD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Инвестиции в дочерние компании</w:t>
            </w:r>
          </w:p>
        </w:tc>
      </w:tr>
      <w:tr w:rsidR="00000000" w14:paraId="283F53BB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4C863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55214000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84080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Перевод средств по системам денежных переводов</w:t>
            </w:r>
          </w:p>
        </w:tc>
      </w:tr>
      <w:tr w:rsidR="00000000" w14:paraId="38F23C1F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BEF9F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55220000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47390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 xml:space="preserve">Поступление денежных средств на </w:t>
            </w:r>
            <w:r>
              <w:rPr>
                <w:sz w:val="24"/>
                <w:szCs w:val="24"/>
              </w:rPr>
              <w:t>счета избирательных/агитационных фондов референдума:</w:t>
            </w:r>
          </w:p>
        </w:tc>
      </w:tr>
      <w:tr w:rsidR="00000000" w14:paraId="024CE039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93ED0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55221000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B8B53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- собственные средства кандидата</w:t>
            </w:r>
          </w:p>
        </w:tc>
      </w:tr>
      <w:tr w:rsidR="00000000" w14:paraId="6E76CE6B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2A1DA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55222000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81C69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- собственные средства политических партий</w:t>
            </w:r>
          </w:p>
        </w:tc>
      </w:tr>
      <w:tr w:rsidR="00000000" w14:paraId="1C3BE72F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9DCC0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55223000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69195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- добровольные пожертвования граждан</w:t>
            </w:r>
          </w:p>
        </w:tc>
      </w:tr>
      <w:tr w:rsidR="00000000" w14:paraId="5A69537E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0B8B0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55224000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9FDC6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- добровольные пожертвования юридических лиц</w:t>
            </w:r>
          </w:p>
        </w:tc>
      </w:tr>
      <w:tr w:rsidR="00000000" w14:paraId="50A343A4" w14:textId="77777777"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4FC51" w14:textId="77777777" w:rsidR="00F53720" w:rsidRDefault="00F53720">
            <w:pPr>
              <w:pStyle w:val="tkTablica"/>
              <w:jc w:val="center"/>
            </w:pPr>
            <w:r>
              <w:rPr>
                <w:sz w:val="24"/>
                <w:szCs w:val="24"/>
              </w:rPr>
              <w:t>55299000</w:t>
            </w:r>
          </w:p>
        </w:tc>
        <w:tc>
          <w:tcPr>
            <w:tcW w:w="3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06659" w14:textId="77777777" w:rsidR="00F53720" w:rsidRDefault="00F53720">
            <w:pPr>
              <w:pStyle w:val="tkTablica"/>
            </w:pPr>
            <w:r>
              <w:rPr>
                <w:sz w:val="24"/>
                <w:szCs w:val="24"/>
              </w:rPr>
              <w:t>Прочие платежи и переводы</w:t>
            </w:r>
          </w:p>
        </w:tc>
      </w:tr>
    </w:tbl>
    <w:p w14:paraId="2266C638" w14:textId="77777777" w:rsidR="00F53720" w:rsidRDefault="00F53720">
      <w:pPr>
        <w:ind w:firstLine="0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720"/>
    <w:rsid w:val="00F5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EA5D2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b/>
      <w:bCs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Tablica">
    <w:name w:val="_Текст таблицы (tkTablica)"/>
    <w:basedOn w:val="a"/>
    <w:pPr>
      <w:spacing w:after="60" w:line="276" w:lineRule="auto"/>
      <w:ind w:firstLine="0"/>
      <w:jc w:val="left"/>
    </w:pPr>
    <w:rPr>
      <w:sz w:val="20"/>
      <w:szCs w:val="20"/>
    </w:rPr>
  </w:style>
  <w:style w:type="paragraph" w:customStyle="1" w:styleId="tsSystem">
    <w:name w:val="__Служебный (tsSystem)"/>
    <w:basedOn w:val="a"/>
    <w:pPr>
      <w:shd w:val="clear" w:color="auto" w:fill="FFC000"/>
      <w:spacing w:before="120" w:line="276" w:lineRule="auto"/>
      <w:ind w:firstLine="0"/>
      <w:jc w:val="left"/>
    </w:pPr>
    <w:rPr>
      <w:vanish/>
      <w:color w:val="404040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778" TargetMode="External"/><Relationship Id="rId13" Type="http://schemas.openxmlformats.org/officeDocument/2006/relationships/hyperlink" Target="https://cbd.minjust.gov.kg/80077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140" TargetMode="External"/><Relationship Id="rId12" Type="http://schemas.openxmlformats.org/officeDocument/2006/relationships/hyperlink" Target="https://cbd.minjust.gov.kg/3007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739" TargetMode="External"/><Relationship Id="rId11" Type="http://schemas.openxmlformats.org/officeDocument/2006/relationships/hyperlink" Target="https://cbd.minjust.gov.kg/300740" TargetMode="External"/><Relationship Id="rId5" Type="http://schemas.openxmlformats.org/officeDocument/2006/relationships/hyperlink" Target="https://cbd.minjust.gov.kg/11148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073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77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785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