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60806BA" w14:textId="77777777" w:rsidR="00870460" w:rsidRDefault="00870460">
      <w:pPr>
        <w:spacing w:after="480"/>
        <w:jc w:val="center"/>
      </w:pPr>
      <w:r>
        <w:rPr>
          <w:rFonts w:ascii="Arial" w:hAnsi="Arial" w:cs="Arial"/>
          <w:b/>
          <w:bCs/>
          <w:noProof/>
        </w:rPr>
        <w:drawing>
          <wp:inline distT="0" distB="0" distL="0" distR="0" wp14:anchorId="5FA1427E" wp14:editId="4880D4DB">
            <wp:extent cx="1152525" cy="1152525"/>
            <wp:effectExtent l="0" t="0" r="9525" b="9525"/>
            <wp:docPr id="1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Описание: C:\Users\CBD\AppData\Local\Temp\CdbDocEditor\7e06e9e0-87d5-4e01-b0db-272feb251bf6\document.files\image001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2525" cy="1152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F6BEA5" w14:textId="77777777" w:rsidR="00870460" w:rsidRDefault="00870460">
      <w:pPr>
        <w:spacing w:after="480"/>
        <w:jc w:val="center"/>
      </w:pPr>
      <w:r>
        <w:rPr>
          <w:rFonts w:ascii="Arial" w:hAnsi="Arial" w:cs="Arial"/>
          <w:b/>
          <w:bCs/>
          <w:spacing w:val="5"/>
          <w:sz w:val="32"/>
          <w:szCs w:val="32"/>
        </w:rPr>
        <w:t>ПОСТАНОВЛЕНИЕ ПРАВЛЕНИЯ НАЦИОНАЛЬНОГО БАНКА КЫРГЫЗСКОЙ РЕСПУБЛИКИ</w:t>
      </w:r>
    </w:p>
    <w:p w14:paraId="20FCBF2C" w14:textId="77777777" w:rsidR="00870460" w:rsidRDefault="00870460">
      <w:pPr>
        <w:spacing w:after="240"/>
      </w:pPr>
      <w:r>
        <w:rPr>
          <w:rFonts w:ascii="Arial" w:hAnsi="Arial" w:cs="Arial"/>
        </w:rPr>
        <w:t>от 14</w:t>
      </w:r>
      <w:r>
        <w:rPr>
          <w:rFonts w:ascii="Arial" w:hAnsi="Arial" w:cs="Arial"/>
          <w:lang w:val="ky-KG"/>
        </w:rPr>
        <w:t xml:space="preserve"> июл</w:t>
      </w:r>
      <w:r>
        <w:rPr>
          <w:rFonts w:ascii="Arial" w:hAnsi="Arial" w:cs="Arial"/>
        </w:rPr>
        <w:t>я 20</w:t>
      </w:r>
      <w:r>
        <w:rPr>
          <w:rFonts w:ascii="Arial" w:hAnsi="Arial" w:cs="Arial"/>
          <w:lang w:val="ky-KG"/>
        </w:rPr>
        <w:t>21</w:t>
      </w:r>
      <w:r>
        <w:rPr>
          <w:rFonts w:ascii="Arial" w:hAnsi="Arial" w:cs="Arial"/>
        </w:rPr>
        <w:t xml:space="preserve"> года № 2021-П-12/38-3-(НПА)</w:t>
      </w:r>
    </w:p>
    <w:p w14:paraId="1B3EBEF2" w14:textId="77777777" w:rsidR="00870460" w:rsidRDefault="00870460">
      <w:pPr>
        <w:pStyle w:val="tkNazvanie"/>
      </w:pPr>
      <w:r>
        <w:rPr>
          <w:sz w:val="28"/>
          <w:szCs w:val="28"/>
        </w:rPr>
        <w:t xml:space="preserve">О внесении изменений в некоторые нормативные правовые акты Национального банка Кыргызской Республики </w:t>
      </w:r>
    </w:p>
    <w:p w14:paraId="51301A16" w14:textId="77777777" w:rsidR="00870460" w:rsidRDefault="00870460">
      <w:pPr>
        <w:pStyle w:val="tkTekst"/>
      </w:pPr>
      <w:r>
        <w:rPr>
          <w:sz w:val="24"/>
          <w:szCs w:val="24"/>
        </w:rPr>
        <w:t xml:space="preserve">В соответствии со статьями </w:t>
      </w:r>
      <w:hyperlink r:id="rId5" w:anchor="st_20" w:history="1">
        <w:r>
          <w:rPr>
            <w:rStyle w:val="a3"/>
            <w:sz w:val="24"/>
            <w:szCs w:val="24"/>
          </w:rPr>
          <w:t>20</w:t>
        </w:r>
      </w:hyperlink>
      <w:r>
        <w:rPr>
          <w:sz w:val="24"/>
          <w:szCs w:val="24"/>
        </w:rPr>
        <w:t xml:space="preserve"> и </w:t>
      </w:r>
      <w:hyperlink r:id="rId6" w:anchor="st_68" w:history="1">
        <w:r>
          <w:rPr>
            <w:rStyle w:val="a3"/>
            <w:sz w:val="24"/>
            <w:szCs w:val="24"/>
          </w:rPr>
          <w:t>68</w:t>
        </w:r>
      </w:hyperlink>
      <w:r>
        <w:rPr>
          <w:sz w:val="24"/>
          <w:szCs w:val="24"/>
        </w:rPr>
        <w:t xml:space="preserve"> Закона Кыргызской Республики "О Национальном </w:t>
      </w:r>
      <w:r>
        <w:rPr>
          <w:sz w:val="24"/>
          <w:szCs w:val="24"/>
        </w:rPr>
        <w:t>банке Кыргызской Республики, банках и банковской деятельности" Правление Национального банка Кыргызской Республики постановляет:</w:t>
      </w:r>
    </w:p>
    <w:p w14:paraId="3D65A578" w14:textId="77777777" w:rsidR="00870460" w:rsidRDefault="00870460">
      <w:pPr>
        <w:pStyle w:val="tkTekst"/>
      </w:pPr>
      <w:r>
        <w:rPr>
          <w:sz w:val="24"/>
          <w:szCs w:val="24"/>
        </w:rPr>
        <w:t xml:space="preserve">1. Внести </w:t>
      </w:r>
      <w:hyperlink r:id="rId7" w:anchor="p1" w:history="1">
        <w:r>
          <w:rPr>
            <w:rStyle w:val="a3"/>
            <w:sz w:val="24"/>
            <w:szCs w:val="24"/>
          </w:rPr>
          <w:t>изменения</w:t>
        </w:r>
      </w:hyperlink>
      <w:r>
        <w:rPr>
          <w:sz w:val="24"/>
          <w:szCs w:val="24"/>
        </w:rPr>
        <w:t xml:space="preserve"> в следующие постановления Правления Национального банка Кыргызской Республики (прилагаются):</w:t>
      </w:r>
    </w:p>
    <w:p w14:paraId="7F89C083" w14:textId="77777777" w:rsidR="00870460" w:rsidRDefault="00870460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8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прямом банковском надзоре" от </w:t>
      </w:r>
      <w:hyperlink r:id="rId9" w:history="1">
        <w:r>
          <w:rPr>
            <w:rStyle w:val="a3"/>
            <w:sz w:val="24"/>
            <w:szCs w:val="24"/>
          </w:rPr>
          <w:t>28 мая 2008 года № 22/4</w:t>
        </w:r>
      </w:hyperlink>
      <w:r>
        <w:rPr>
          <w:sz w:val="24"/>
          <w:szCs w:val="24"/>
        </w:rPr>
        <w:t>;</w:t>
      </w:r>
    </w:p>
    <w:p w14:paraId="62AB4C36" w14:textId="77777777" w:rsidR="00870460" w:rsidRDefault="00870460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0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</w:t>
      </w:r>
      <w:hyperlink r:id="rId11" w:history="1">
        <w:r>
          <w:rPr>
            <w:rStyle w:val="a3"/>
            <w:sz w:val="24"/>
            <w:szCs w:val="24"/>
          </w:rPr>
          <w:t>17 мая 2017 года № 19/13</w:t>
        </w:r>
      </w:hyperlink>
      <w:r>
        <w:rPr>
          <w:sz w:val="24"/>
          <w:szCs w:val="24"/>
        </w:rPr>
        <w:t>;</w:t>
      </w:r>
    </w:p>
    <w:p w14:paraId="60979FBD" w14:textId="77777777" w:rsidR="00870460" w:rsidRDefault="00870460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2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лицензировании деятельности банков" от </w:t>
      </w:r>
      <w:hyperlink r:id="rId13" w:history="1">
        <w:r>
          <w:rPr>
            <w:rStyle w:val="a3"/>
            <w:sz w:val="24"/>
            <w:szCs w:val="24"/>
          </w:rPr>
          <w:t>8 июня 2017 года № 2017-П-12/23-1-(НПА)</w:t>
        </w:r>
      </w:hyperlink>
      <w:r>
        <w:rPr>
          <w:sz w:val="24"/>
          <w:szCs w:val="24"/>
        </w:rPr>
        <w:t>;</w:t>
      </w:r>
    </w:p>
    <w:p w14:paraId="33D7F39F" w14:textId="77777777" w:rsidR="00870460" w:rsidRDefault="00870460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4" w:history="1">
        <w:r>
          <w:rPr>
            <w:rStyle w:val="a3"/>
            <w:sz w:val="24"/>
            <w:szCs w:val="24"/>
          </w:rPr>
          <w:t>Положения</w:t>
        </w:r>
      </w:hyperlink>
      <w:r>
        <w:rPr>
          <w:sz w:val="24"/>
          <w:szCs w:val="24"/>
        </w:rPr>
        <w:t xml:space="preserve"> "О ликвидации банков" от </w:t>
      </w:r>
      <w:hyperlink r:id="rId15" w:history="1">
        <w:r>
          <w:rPr>
            <w:rStyle w:val="a3"/>
            <w:sz w:val="24"/>
            <w:szCs w:val="24"/>
          </w:rPr>
          <w:t>8 июня 2017 года № 2017-П-12/23-5-(НПА)</w:t>
        </w:r>
      </w:hyperlink>
      <w:r>
        <w:rPr>
          <w:sz w:val="24"/>
          <w:szCs w:val="24"/>
        </w:rPr>
        <w:t>;</w:t>
      </w:r>
    </w:p>
    <w:p w14:paraId="7EA9EC0E" w14:textId="77777777" w:rsidR="00870460" w:rsidRDefault="00870460">
      <w:pPr>
        <w:pStyle w:val="tkTekst"/>
      </w:pPr>
      <w:r>
        <w:rPr>
          <w:sz w:val="24"/>
          <w:szCs w:val="24"/>
        </w:rPr>
        <w:t xml:space="preserve">- "О </w:t>
      </w:r>
      <w:hyperlink r:id="rId16" w:history="1">
        <w:r>
          <w:rPr>
            <w:rStyle w:val="a3"/>
            <w:sz w:val="24"/>
            <w:szCs w:val="24"/>
          </w:rPr>
          <w:t>Положении</w:t>
        </w:r>
      </w:hyperlink>
      <w:r>
        <w:rPr>
          <w:sz w:val="24"/>
          <w:szCs w:val="24"/>
        </w:rPr>
        <w:t xml:space="preserve"> "О мерах воздействия, применяемых к банкам, лицензируемым Национальным банком Кыргызской Республики" от </w:t>
      </w:r>
      <w:hyperlink r:id="rId17" w:history="1">
        <w:r>
          <w:rPr>
            <w:rStyle w:val="a3"/>
            <w:sz w:val="24"/>
            <w:szCs w:val="24"/>
          </w:rPr>
          <w:t>15 июня 2017 года № 2017-П-12/25-4-(НПА)</w:t>
        </w:r>
      </w:hyperlink>
      <w:r>
        <w:rPr>
          <w:sz w:val="24"/>
          <w:szCs w:val="24"/>
        </w:rPr>
        <w:t>;</w:t>
      </w:r>
    </w:p>
    <w:p w14:paraId="57D1D85C" w14:textId="77777777" w:rsidR="00870460" w:rsidRDefault="00870460">
      <w:pPr>
        <w:pStyle w:val="tkTekst"/>
      </w:pPr>
      <w:r>
        <w:rPr>
          <w:sz w:val="24"/>
          <w:szCs w:val="24"/>
        </w:rPr>
        <w:t xml:space="preserve">- "Об утверждении </w:t>
      </w:r>
      <w:hyperlink r:id="rId18" w:history="1">
        <w:r>
          <w:rPr>
            <w:rStyle w:val="a3"/>
            <w:sz w:val="24"/>
            <w:szCs w:val="24"/>
          </w:rPr>
          <w:t>Инструкции</w:t>
        </w:r>
      </w:hyperlink>
      <w:r>
        <w:rPr>
          <w:sz w:val="24"/>
          <w:szCs w:val="24"/>
        </w:rPr>
        <w:t xml:space="preserve"> об осуществлении банковского надзора" от </w:t>
      </w:r>
      <w:hyperlink r:id="rId19" w:history="1">
        <w:r>
          <w:rPr>
            <w:rStyle w:val="a3"/>
            <w:sz w:val="24"/>
            <w:szCs w:val="24"/>
          </w:rPr>
          <w:t>20 июня 2018 года № 2018-П-12/24-2-(НПА)</w:t>
        </w:r>
      </w:hyperlink>
      <w:r>
        <w:rPr>
          <w:sz w:val="24"/>
          <w:szCs w:val="24"/>
        </w:rPr>
        <w:t>.</w:t>
      </w:r>
    </w:p>
    <w:p w14:paraId="28662441" w14:textId="77777777" w:rsidR="00870460" w:rsidRDefault="00870460">
      <w:pPr>
        <w:pStyle w:val="tkTekst"/>
      </w:pPr>
      <w:r>
        <w:rPr>
          <w:sz w:val="24"/>
          <w:szCs w:val="24"/>
        </w:rPr>
        <w:t>2. Настоящее постановление вступает в силу по истечении пятнадцати дней со дня официального опубликования.</w:t>
      </w:r>
    </w:p>
    <w:p w14:paraId="71899B7D" w14:textId="77777777" w:rsidR="00870460" w:rsidRDefault="00870460">
      <w:pPr>
        <w:pStyle w:val="tkTekst"/>
      </w:pPr>
      <w:r>
        <w:rPr>
          <w:sz w:val="24"/>
          <w:szCs w:val="24"/>
        </w:rPr>
        <w:t>3. Юридическому управлению:</w:t>
      </w:r>
    </w:p>
    <w:p w14:paraId="471F0E5C" w14:textId="77777777" w:rsidR="00870460" w:rsidRDefault="00870460">
      <w:pPr>
        <w:pStyle w:val="tkTekst"/>
      </w:pPr>
      <w:r>
        <w:rPr>
          <w:sz w:val="24"/>
          <w:szCs w:val="24"/>
        </w:rPr>
        <w:t>- опубликовать настоящее постановление на официальном интернет-сайте Национального банка Кыргызской Республики;</w:t>
      </w:r>
    </w:p>
    <w:p w14:paraId="0D76B452" w14:textId="77777777" w:rsidR="00870460" w:rsidRDefault="00870460">
      <w:pPr>
        <w:pStyle w:val="tkTekst"/>
      </w:pPr>
      <w:r>
        <w:rPr>
          <w:sz w:val="24"/>
          <w:szCs w:val="24"/>
        </w:rPr>
        <w:t>- после официального опубликования направить настоящее постановление в Министерство юстиции Кыргызской Республики для внесения в Государственный реестр нормативных правовых актов Кыргызской Республики.</w:t>
      </w:r>
    </w:p>
    <w:p w14:paraId="1DF0598D" w14:textId="77777777" w:rsidR="00870460" w:rsidRDefault="00870460">
      <w:pPr>
        <w:pStyle w:val="tkTekst"/>
      </w:pPr>
      <w:r>
        <w:rPr>
          <w:sz w:val="24"/>
          <w:szCs w:val="24"/>
        </w:rPr>
        <w:t>4. Управлению методологии надзора и лицензирования банков довести настоящее постановление до сведения ОЮЛ "Союз банков Кыргызстана", коммерческих банков, Государственного банка развития Кыргызской Республики, соответствующих структурных подразделений, областных управлений и представительства Национального банка Кыргызской Республики в Баткенской области.</w:t>
      </w:r>
    </w:p>
    <w:p w14:paraId="28A82CB3" w14:textId="77777777" w:rsidR="00870460" w:rsidRDefault="00870460">
      <w:pPr>
        <w:pStyle w:val="tkTekst"/>
      </w:pPr>
      <w:r>
        <w:rPr>
          <w:sz w:val="24"/>
          <w:szCs w:val="24"/>
        </w:rPr>
        <w:t>5. Управлению надзора за небанковскими финансово-кредитными организациями довести настоящее постановление до сведения ОАО "Финансовая компания кредитных союзов", кредитных союзов, ОАО "Гарантийный фонд", микрофинансовых компаний, привлекающих депозиты, кредитных бюро, обменных бюро, жилищно-сберегательных кредитных компаний.</w:t>
      </w:r>
    </w:p>
    <w:p w14:paraId="56C78486" w14:textId="77777777" w:rsidR="00870460" w:rsidRDefault="00870460">
      <w:pPr>
        <w:pStyle w:val="tkTekst"/>
      </w:pPr>
      <w:r>
        <w:rPr>
          <w:sz w:val="24"/>
          <w:szCs w:val="24"/>
        </w:rPr>
        <w:t>6. Управлению платежных систем довести настоящее постановление до сведения операторов платежных систем, платежных организаций.</w:t>
      </w:r>
    </w:p>
    <w:p w14:paraId="3F33FD0B" w14:textId="77777777" w:rsidR="00870460" w:rsidRDefault="00870460">
      <w:pPr>
        <w:pStyle w:val="tkTekst"/>
      </w:pPr>
      <w:r>
        <w:rPr>
          <w:sz w:val="24"/>
          <w:szCs w:val="24"/>
        </w:rPr>
        <w:t>7. Контроль за исполнением настоящего постановления возложить на члена Правления Национального банка Кыргызской Республики, курирующего управление методологии надзора и лицензирования банков.</w:t>
      </w:r>
    </w:p>
    <w:p w14:paraId="487F6C35" w14:textId="77777777" w:rsidR="00870460" w:rsidRDefault="00870460">
      <w:pPr>
        <w:spacing w:after="60" w:line="276" w:lineRule="auto"/>
        <w:jc w:val="both"/>
      </w:pPr>
      <w:r>
        <w:t> </w:t>
      </w:r>
    </w:p>
    <w:tbl>
      <w:tblPr>
        <w:tblW w:w="5040" w:type="pct"/>
        <w:tblInd w:w="-108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0"/>
        <w:gridCol w:w="6"/>
        <w:gridCol w:w="2409"/>
        <w:gridCol w:w="859"/>
        <w:gridCol w:w="1097"/>
        <w:gridCol w:w="312"/>
        <w:gridCol w:w="1389"/>
        <w:gridCol w:w="638"/>
        <w:gridCol w:w="2660"/>
      </w:tblGrid>
      <w:tr w:rsidR="00000000" w14:paraId="5DBAEDE9" w14:textId="77777777">
        <w:tc>
          <w:tcPr>
            <w:tcW w:w="24" w:type="pct"/>
            <w:vAlign w:val="center"/>
            <w:hideMark/>
          </w:tcPr>
          <w:p w14:paraId="5B670598" w14:textId="77777777" w:rsidR="00870460" w:rsidRDefault="00870460">
            <w:r>
              <w:t> </w:t>
            </w:r>
          </w:p>
        </w:tc>
        <w:tc>
          <w:tcPr>
            <w:tcW w:w="2486" w:type="pct"/>
            <w:gridSpan w:val="5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A4E77FB" w14:textId="77777777" w:rsidR="00870460" w:rsidRDefault="00870460">
            <w:pPr>
              <w:spacing w:after="60" w:line="276" w:lineRule="auto"/>
              <w:jc w:val="both"/>
            </w:pPr>
            <w:r>
              <w:rPr>
                <w:rFonts w:ascii="Arial" w:hAnsi="Arial" w:cs="Arial"/>
                <w:b/>
                <w:bCs/>
              </w:rPr>
              <w:t>Председатель</w:t>
            </w:r>
          </w:p>
          <w:p w14:paraId="4F5D90E7" w14:textId="77777777" w:rsidR="00870460" w:rsidRDefault="00870460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2490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538CDB03" w14:textId="77777777" w:rsidR="00870460" w:rsidRDefault="00870460">
            <w:pPr>
              <w:spacing w:after="60" w:line="276" w:lineRule="auto"/>
              <w:jc w:val="right"/>
            </w:pPr>
            <w:r>
              <w:rPr>
                <w:rFonts w:ascii="Arial" w:hAnsi="Arial" w:cs="Arial"/>
                <w:b/>
                <w:bCs/>
              </w:rPr>
              <w:t>Т.Абдыгулов</w:t>
            </w:r>
          </w:p>
        </w:tc>
      </w:tr>
      <w:tr w:rsidR="00000000" w14:paraId="470BD5C1" w14:textId="77777777">
        <w:tc>
          <w:tcPr>
            <w:tcW w:w="24" w:type="pct"/>
            <w:vAlign w:val="center"/>
            <w:hideMark/>
          </w:tcPr>
          <w:p w14:paraId="6745EC18" w14:textId="77777777" w:rsidR="00870460" w:rsidRDefault="00870460"/>
        </w:tc>
        <w:tc>
          <w:tcPr>
            <w:tcW w:w="1279" w:type="pct"/>
            <w:gridSpan w:val="2"/>
            <w:vAlign w:val="center"/>
            <w:hideMark/>
          </w:tcPr>
          <w:p w14:paraId="007F3681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40" w:type="pct"/>
            <w:gridSpan w:val="2"/>
            <w:vAlign w:val="center"/>
            <w:hideMark/>
          </w:tcPr>
          <w:p w14:paraId="2B5AA7EA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67" w:type="pct"/>
            <w:vAlign w:val="center"/>
            <w:hideMark/>
          </w:tcPr>
          <w:p w14:paraId="4FE88690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78" w:type="pct"/>
            <w:gridSpan w:val="2"/>
            <w:vAlign w:val="center"/>
            <w:hideMark/>
          </w:tcPr>
          <w:p w14:paraId="267F1D64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412" w:type="pct"/>
            <w:vAlign w:val="center"/>
            <w:hideMark/>
          </w:tcPr>
          <w:p w14:paraId="759743AA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</w:tr>
      <w:tr w:rsidR="00000000" w14:paraId="6E26A220" w14:textId="77777777">
        <w:tc>
          <w:tcPr>
            <w:tcW w:w="0" w:type="pct"/>
            <w:gridSpan w:val="2"/>
            <w:vAlign w:val="center"/>
            <w:hideMark/>
          </w:tcPr>
          <w:p w14:paraId="2C1436D7" w14:textId="77777777" w:rsidR="00870460" w:rsidRDefault="00870460">
            <w:r>
              <w:t> </w:t>
            </w:r>
          </w:p>
        </w:tc>
        <w:tc>
          <w:tcPr>
            <w:tcW w:w="173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1E8894E6" w14:textId="77777777" w:rsidR="00870460" w:rsidRDefault="00870460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488" w:type="pct"/>
            <w:gridSpan w:val="3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78C4F745" w14:textId="77777777" w:rsidR="00870460" w:rsidRDefault="00870460">
            <w:pPr>
              <w:spacing w:after="60" w:line="276" w:lineRule="auto"/>
              <w:jc w:val="both"/>
            </w:pPr>
            <w:r>
              <w:t> </w:t>
            </w:r>
          </w:p>
        </w:tc>
        <w:tc>
          <w:tcPr>
            <w:tcW w:w="1736" w:type="pct"/>
            <w:gridSpan w:val="2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14:paraId="374F095A" w14:textId="77777777" w:rsidR="00870460" w:rsidRDefault="00870460">
            <w:pPr>
              <w:spacing w:after="60" w:line="276" w:lineRule="auto"/>
              <w:jc w:val="center"/>
            </w:pPr>
            <w:bookmarkStart w:id="0" w:name="pr"/>
            <w:bookmarkStart w:id="1" w:name="pr1"/>
            <w:bookmarkEnd w:id="0"/>
            <w:bookmarkEnd w:id="1"/>
            <w:r>
              <w:rPr>
                <w:rFonts w:ascii="Arial" w:hAnsi="Arial" w:cs="Arial"/>
              </w:rPr>
              <w:t>Приложение</w:t>
            </w:r>
            <w:r>
              <w:rPr>
                <w:rFonts w:ascii="Arial" w:hAnsi="Arial" w:cs="Arial"/>
              </w:rPr>
              <w:br/>
              <w:t>к постановлению Правления Национального банка Кыргызской Республики</w:t>
            </w:r>
            <w:r>
              <w:rPr>
                <w:rFonts w:ascii="Arial" w:hAnsi="Arial" w:cs="Arial"/>
              </w:rPr>
              <w:br/>
              <w:t>от 14 июля 2021 года № 2021-П-12/38-3-(НПА)</w:t>
            </w:r>
          </w:p>
        </w:tc>
      </w:tr>
      <w:tr w:rsidR="00000000" w14:paraId="18FE057A" w14:textId="77777777">
        <w:tc>
          <w:tcPr>
            <w:tcW w:w="60" w:type="dxa"/>
            <w:vAlign w:val="center"/>
            <w:hideMark/>
          </w:tcPr>
          <w:p w14:paraId="5B269D0F" w14:textId="77777777" w:rsidR="00870460" w:rsidRDefault="00870460"/>
        </w:tc>
        <w:tc>
          <w:tcPr>
            <w:tcW w:w="30" w:type="dxa"/>
            <w:vAlign w:val="center"/>
            <w:hideMark/>
          </w:tcPr>
          <w:p w14:paraId="736436F7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2850" w:type="dxa"/>
            <w:vAlign w:val="center"/>
            <w:hideMark/>
          </w:tcPr>
          <w:p w14:paraId="669D9EDC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065" w:type="dxa"/>
            <w:vAlign w:val="center"/>
            <w:hideMark/>
          </w:tcPr>
          <w:p w14:paraId="47E444F3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275" w:type="dxa"/>
            <w:vAlign w:val="center"/>
            <w:hideMark/>
          </w:tcPr>
          <w:p w14:paraId="1B35EEC1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75" w:type="dxa"/>
            <w:vAlign w:val="center"/>
            <w:hideMark/>
          </w:tcPr>
          <w:p w14:paraId="7F1518BC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1710" w:type="dxa"/>
            <w:vAlign w:val="center"/>
            <w:hideMark/>
          </w:tcPr>
          <w:p w14:paraId="6762CE18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735" w:type="dxa"/>
            <w:vAlign w:val="center"/>
            <w:hideMark/>
          </w:tcPr>
          <w:p w14:paraId="54895AD7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  <w:tc>
          <w:tcPr>
            <w:tcW w:w="3195" w:type="dxa"/>
            <w:vAlign w:val="center"/>
            <w:hideMark/>
          </w:tcPr>
          <w:p w14:paraId="346EC811" w14:textId="77777777" w:rsidR="00870460" w:rsidRDefault="00870460">
            <w:pPr>
              <w:rPr>
                <w:rFonts w:eastAsia="Times New Roman"/>
                <w:sz w:val="20"/>
                <w:szCs w:val="20"/>
              </w:rPr>
            </w:pPr>
          </w:p>
        </w:tc>
      </w:tr>
    </w:tbl>
    <w:p w14:paraId="6424CFDE" w14:textId="77777777" w:rsidR="00870460" w:rsidRDefault="00870460">
      <w:pPr>
        <w:spacing w:before="400" w:after="400" w:line="276" w:lineRule="auto"/>
        <w:ind w:left="1134" w:right="1134"/>
        <w:jc w:val="center"/>
      </w:pPr>
      <w:r>
        <w:rPr>
          <w:rFonts w:ascii="Arial" w:hAnsi="Arial" w:cs="Arial"/>
          <w:b/>
          <w:bCs/>
        </w:rPr>
        <w:t>ИЗМЕНЕНИЯ</w:t>
      </w:r>
      <w:r>
        <w:rPr>
          <w:rFonts w:ascii="Arial" w:hAnsi="Arial" w:cs="Arial"/>
          <w:b/>
          <w:bCs/>
        </w:rPr>
        <w:br/>
        <w:t xml:space="preserve">в некоторые нормативные </w:t>
      </w:r>
      <w:r>
        <w:rPr>
          <w:rFonts w:ascii="Arial" w:hAnsi="Arial" w:cs="Arial"/>
          <w:b/>
          <w:bCs/>
        </w:rPr>
        <w:t>правовые акты Национального банка Кыргызской Республики</w:t>
      </w:r>
    </w:p>
    <w:p w14:paraId="73475A7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1. Внести в </w:t>
      </w:r>
      <w:hyperlink r:id="rId20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21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прямом банковском надзоре" от 28 мая 2008 года № 22/4 следующие изменения:</w:t>
      </w:r>
    </w:p>
    <w:p w14:paraId="1366EA9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2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прямом банковском надзоре", утвержденном вышеуказанным </w:t>
      </w:r>
      <w:hyperlink r:id="rId23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6E41740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2.2.2. изложить в следующей редакции:</w:t>
      </w:r>
    </w:p>
    <w:p w14:paraId="600DD31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"2.2.2. При осуществлении прямого банковского надзора для контроля за проведением платежных операций банка/ОПС/ПО при необходимости могут быть привлечены уполномоченные служащие структурных подразделений, областных управлений/представительства Национального банка в Баткенской области и сотрудники банка/ОПС/ПО, обладающие достаточным опытом и знаниями по проводимым операциям в банках/ОПС/ПО.";</w:t>
      </w:r>
    </w:p>
    <w:p w14:paraId="0D68E8F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2.3. изложить в следующей редакции:</w:t>
      </w:r>
    </w:p>
    <w:p w14:paraId="0CBDEEA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"2.3. В постановлении КПН/КПС о введении прямого банковского надзора должны быть указаны:</w:t>
      </w:r>
    </w:p>
    <w:p w14:paraId="6D79228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основания для введения прямого банковского надзора;</w:t>
      </w:r>
    </w:p>
    <w:p w14:paraId="5B2DA4A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срок применения данной меры воздействия;</w:t>
      </w:r>
    </w:p>
    <w:p w14:paraId="011262D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виды и периодичность предоставления отчетов банка/ОПС/ПО и контролера/группы контролеров;</w:t>
      </w:r>
    </w:p>
    <w:p w14:paraId="39660F6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особые условия/режим работы банка/ОПС/ПО (включая филиалы/представительства/агентскую сеть и другие обособленные подразделения) и контролера/группы контролеров (включая ее полномочия);</w:t>
      </w:r>
    </w:p>
    <w:p w14:paraId="1B6A62C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образец(-цы) подписи(-ей) контролера(-ов);</w:t>
      </w:r>
    </w:p>
    <w:p w14:paraId="5B5B2DC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обязанности банка/ОПС/ПО по отношению к Национальному банку и контролеру/группе контролеров.";</w:t>
      </w:r>
    </w:p>
    <w:p w14:paraId="53F6FBF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2.5. признать утратившим силу;</w:t>
      </w:r>
    </w:p>
    <w:p w14:paraId="452CE4B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2.6. изложить в следующей редакции:</w:t>
      </w:r>
    </w:p>
    <w:p w14:paraId="664ED38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"2.6. При осуществлении прямого банковского надзора, предполагающего контроль за расчетными и кассовыми операциями банка, КПН вправе установить:</w:t>
      </w:r>
    </w:p>
    <w:p w14:paraId="791527A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требование о том, чтобы банк проводил расчетные и кассовые операции (все или определенные) только после согласования с контролером и при наличии подписи контролера, образец подписи которого имеется в постановлении КПН;</w:t>
      </w:r>
    </w:p>
    <w:p w14:paraId="3B9FDE9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полномочия контролера/группы контролеров по временному приостановлению отдельных расчетных и кассовых операций банка и порядок согласования решения по ним с руководством Национального банка;</w:t>
      </w:r>
    </w:p>
    <w:p w14:paraId="7F2ABF9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максимальные размеры по суммам расчетных и кассовых операций, свыше которых банк не вправе проводить операции без согласования с контролером и без подписи контролера, образец подписи которого имеется в постановлении КПН;</w:t>
      </w:r>
    </w:p>
    <w:p w14:paraId="2604C5F2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режим проведения расчетных и кассовых операций филиалами (сберегательными и выездными кассами) банка, в которых не назначен контролер, с указанием порядка согласования и/или информирования ими контролера, осуществляющего прямой банковский надзор в банке.";</w:t>
      </w:r>
    </w:p>
    <w:p w14:paraId="202A907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дополнить </w:t>
      </w:r>
      <w:hyperlink r:id="rId24" w:history="1">
        <w:r>
          <w:rPr>
            <w:rStyle w:val="a3"/>
            <w:rFonts w:ascii="Arial" w:hAnsi="Arial" w:cs="Arial"/>
          </w:rPr>
          <w:t>Положение</w:t>
        </w:r>
      </w:hyperlink>
      <w:r>
        <w:rPr>
          <w:rFonts w:ascii="Arial" w:hAnsi="Arial" w:cs="Arial"/>
        </w:rPr>
        <w:t xml:space="preserve"> пунктом 2.6-2 следующего содержания:</w:t>
      </w:r>
    </w:p>
    <w:p w14:paraId="1BF5A80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"2.6-2. Контролер/группа контролеров при необходимости может согласовать решение по временному приостановлению отдельных расчетных и кассовых операций банка с уполномоченным лицом Национального банка в течение 3 (трех) рабочих дней. Указанный срок при необходимости может быть продлен дополнительно на 3 (три) рабочих дня.</w:t>
      </w:r>
    </w:p>
    <w:p w14:paraId="3A3C239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Данное требование не распространяется на случаи приостановления операций (сделок), согласно нормам законодательства по ПФТД/ЛПД.</w:t>
      </w:r>
    </w:p>
    <w:p w14:paraId="302DDB7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случае </w:t>
      </w:r>
      <w:r>
        <w:rPr>
          <w:rFonts w:ascii="Arial" w:hAnsi="Arial" w:cs="Arial"/>
        </w:rPr>
        <w:t>приостановления операции (сделки) в связи с возникновением подозрения, что операция (сделка) связана с легализацией (отмыванием) преступных доходов, приостановление такой операции (сделки) осуществляется в порядке, установленном законодательством по ПФТД/ЛПД.</w:t>
      </w:r>
    </w:p>
    <w:p w14:paraId="6A48C03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Банк обязан оказывать всестороннее содействие контролеру/группе контролеров, в целях принятия оперативных и корректных решений по проведению расчетных и кассовых операций.</w:t>
      </w:r>
    </w:p>
    <w:p w14:paraId="0401E37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случае приостановления контролером/группой контролеров отдельных расчетных и кассовых операций банка, издержки/убытки, понесенные в связи с таким приостановлением, несет банк.";</w:t>
      </w:r>
    </w:p>
    <w:p w14:paraId="5780AAB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2.7 изложить в следующей редакции:</w:t>
      </w:r>
    </w:p>
    <w:p w14:paraId="7E212D4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"2.7. Не позднее </w:t>
      </w:r>
      <w:r>
        <w:rPr>
          <w:rFonts w:ascii="Arial" w:hAnsi="Arial" w:cs="Arial"/>
        </w:rPr>
        <w:t>дня введения прямого банковского надзора и назначения контролера/группы контролеров, который будет контролировать операции банка/ОПС/ПО на месте, уполномоченный служащий Национального банка предоставляет в организацию, в отношении которой введен прямой банковский надзор, образцы подписей контролеров, зафиксированных в постановлении КПН/КПС. При проведении расчетов через систему дистанционного обслуживания ПО должна предоставить контролеру/руководителю группы контролеров функцию согласующего в системе дистан</w:t>
      </w:r>
      <w:r>
        <w:rPr>
          <w:rFonts w:ascii="Arial" w:hAnsi="Arial" w:cs="Arial"/>
        </w:rPr>
        <w:t>ционного обслуживания по проводимым расчетам. В случае отсутствия такой возможности банк, обслуживающий ПО, должен информировать контролера/руководителя группы контролеров о проведенных операциях через системы дистанционного обслуживания в течение введения прямого банковского надзора (данный пункт должен быть включен в договор, подписанный между ПО и банком). Подписи должностных лиц банка/ОПС/ПО считаются недействительными при отсутствии подписи контролера, образец подписи которого имеется в постановлении К</w:t>
      </w:r>
      <w:r>
        <w:rPr>
          <w:rFonts w:ascii="Arial" w:hAnsi="Arial" w:cs="Arial"/>
        </w:rPr>
        <w:t>ПН/КПС.</w:t>
      </w:r>
    </w:p>
    <w:p w14:paraId="59D3DD7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Наличие подписи контролера на документе по согласуемой операции означает ознакомление последнего с намерением банка/ОПС/ПО провести операцию и согласие на ее проведение в соответствии с требованиями, установленными соответствующим постановлением КПН/КПС.</w:t>
      </w:r>
    </w:p>
    <w:p w14:paraId="2FE490E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Ответственность за соответствие проводимых операций требованиям законодательства Кыргызской Республики, в том числе нормативным правовым актам Национального банка, в полной мере несет банк/ОПС/ПО.";</w:t>
      </w:r>
    </w:p>
    <w:p w14:paraId="6E989462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2.8. изложить в следующей редакции:</w:t>
      </w:r>
    </w:p>
    <w:p w14:paraId="6E816DF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"2.8. КПН/КПС устанавливает срок, в течение которого в банке/ОПС/ПО осуществляется прямой банковский надзор, а также определяет периодичность отчетов, предоставляемых правлением банка/руководителем ОПС/ПО и руководителем группы контролеров в соответствующее структурное подразделение Национального банка и КПН/КПС. КПН/КПС по результатам рассмотрения отчетов и/или информации соответствующего структурного подразделения Национального банка вправе продлить или отменить (досрочно) действие прямого банковского над</w:t>
      </w:r>
      <w:r>
        <w:rPr>
          <w:rFonts w:ascii="Arial" w:hAnsi="Arial" w:cs="Arial"/>
        </w:rPr>
        <w:t>зора.";</w:t>
      </w:r>
    </w:p>
    <w:p w14:paraId="766441A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первом предложении пункта 2.10. слова "группой контролеров" заменить словами "контролером/группой контролеров";</w:t>
      </w:r>
    </w:p>
    <w:p w14:paraId="7F382C1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4.2 изложить в следующей редакции:</w:t>
      </w:r>
    </w:p>
    <w:p w14:paraId="290048A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"4.2. КПН определяет полномочия и обязанности контролера/руководителя и членов группы контролеров, выполняющих задачи прямого банковского надзора, основными из которых являются:</w:t>
      </w:r>
    </w:p>
    <w:p w14:paraId="0AEFB72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изучение и анализ финансового состояния и платежеспособности банка, качества управления банком, состояния учета и отчетности и любых других участков деятельности, которые несут потенциальный риск ухудшения положения;</w:t>
      </w:r>
    </w:p>
    <w:p w14:paraId="2951815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постоянный, целенаправленный и оперативный мониторинг финансового состояния банка в целом, мониторинг операций и действий банка и/или его должностных лиц;</w:t>
      </w:r>
    </w:p>
    <w:p w14:paraId="36DBFFAF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контроль за расчетными и кассовыми операциями банка, включая временное приостановление операций, а также контроль за ограничениями по операциям, установленными КПН;</w:t>
      </w:r>
    </w:p>
    <w:p w14:paraId="30ECB9F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контроль за выполнением мер, предписанных Национальным банком и разработанных самим банком, по улучшению положения и оздоровлению финансового состояния;</w:t>
      </w:r>
    </w:p>
    <w:p w14:paraId="04A5EC1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контроль за предоставлением регулярных отчетов банка, предусмотренных в постановлении о введении ПБН;</w:t>
      </w:r>
    </w:p>
    <w:p w14:paraId="6C5F78F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подготовка и предоставление регулярных отчетов в соответствующее структурное подразделение Национального банка и руководству Национального банка;</w:t>
      </w:r>
    </w:p>
    <w:p w14:paraId="25B0553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регулярное и оперативное информирование (в устной и/или письменной форме) руководства Национального банка о ситуации в банке и предпринятых мерах, незамедлительное сообщение о действиях банка и/или его должностных лиц, угрожающих его положению и финансовому состоянию, или о проведении банком операций в нарушение требований Национального банка;</w:t>
      </w:r>
    </w:p>
    <w:p w14:paraId="78C16BA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подготовка предложений руководству Национального банка относительно дальнейших мер и действий в отношении банка и/или его должностных лиц на основании анализа эффективности предпринятых мер, текущего положения, а также факторов и обстоятельств, которые могут повлиять на ситуацию в банке.";</w:t>
      </w:r>
    </w:p>
    <w:p w14:paraId="2F4BD59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4.4. изложить в следующей редакции:</w:t>
      </w:r>
    </w:p>
    <w:p w14:paraId="0B4EA9E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"4.4. В условиях прямого банковского надзора руководство банка/ОПС/ПО продолжает нести полную ответственность за деятельность банка/ОПС/ПО, в том числе за финансовое состояние банка/ОПС/ПО, правильность расчетов по операциям/сделкам, выполнение требований и рекомендаций Национального банка, проведение мер по финансовому оздоровлению, снижению рисков, устранению нарушений и недостатков в деятельности банка/ОПС/ПО, а также за предоставление в Национальный банк и контролеру/группе контролеров плана мероприятий</w:t>
      </w:r>
      <w:r>
        <w:rPr>
          <w:rFonts w:ascii="Arial" w:hAnsi="Arial" w:cs="Arial"/>
        </w:rPr>
        <w:t xml:space="preserve"> по выводу банка/ОПС/ПО из сложившейся ситуации, регулярных отчетов и любой необходимой и/или запрашиваемой информации.";</w:t>
      </w:r>
    </w:p>
    <w:p w14:paraId="63D8A96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4.5. изложить в следующей редакции:</w:t>
      </w:r>
    </w:p>
    <w:p w14:paraId="09E8C8B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"4.5. Руководство банка/ОПС/ПО обязано оказывать содействие контролеру/группе контролеров и предоставлять исчерпывающую и достоверную информацию и документы, включая все материалы, подготовленные для заседаний совета директоров (при наличии) и правления банка/исполнительному органу ОПС/ПО до их проведения.</w:t>
      </w:r>
    </w:p>
    <w:p w14:paraId="4269C41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Для целей осуществления прямого банковского надзора контролер/группа контролеров вправе запросить любую необходимую информацию у банка/ОПС/ПО. При отказе в предоставлении/непредоставлении информации либо в случае предоставления неполной/недостоверной информации, а также несвоевременного предоставления информации контролер/группа контролеров вправе требовать представления пояснений/объяснительной от банка/ОПС/ПО или от сотрудника/причастных лиц и их руководителей.</w:t>
      </w:r>
    </w:p>
    <w:p w14:paraId="6E94807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Отказ в предоставлении/непредоставление либо предоставление неполной/недостоверной информации, а также несвоевременное предоставление информации приравнивается к противодействию осуществлению прямого банковского надзора и является основанием для применения Национальным банком соответствующих мер воздействий.</w:t>
      </w:r>
    </w:p>
    <w:p w14:paraId="52124F5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Также банк/ОПС/ПО обязан обеспечить необходимые условия (помещение, компьютер, средства связи и др.) для осуществления прямого банковского надзора в банке/ОПС/ПО.</w:t>
      </w:r>
    </w:p>
    <w:p w14:paraId="2379C5D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Руководство банка/ОПС/ПО (члены правления банка/исполнительный орган ОПС/ПО) обязано:</w:t>
      </w:r>
    </w:p>
    <w:p w14:paraId="11A7CD22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предоставить контролеру/группе контролеров отдельное помещение в банке/ОПС/ПО, в котором отсутствуют аудио/видео устройства, осуществляющие аудио/видеозапись;</w:t>
      </w:r>
    </w:p>
    <w:p w14:paraId="6D7546C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пресекать любые попытки третьих лиц установить аудио/видеооборудование в предоставленном контролеру/группе контролеров помещении;</w:t>
      </w:r>
    </w:p>
    <w:p w14:paraId="4729075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обеспечить безопасность хранения документов банка/ОПС/ПО и контролера/ группы контролеров;</w:t>
      </w:r>
    </w:p>
    <w:p w14:paraId="0C0ADC7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предоставить оборудование и технику, необходимые для осуществления прямого банковского надзора;</w:t>
      </w:r>
    </w:p>
    <w:p w14:paraId="17B9590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обеспечить полный доступ к внешней электронной почте;</w:t>
      </w:r>
    </w:p>
    <w:p w14:paraId="3C98AB5F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- обеспечить </w:t>
      </w:r>
      <w:r>
        <w:rPr>
          <w:rFonts w:ascii="Arial" w:hAnsi="Arial" w:cs="Arial"/>
        </w:rPr>
        <w:t>соблюдение полного режима конфиденциальности банком/ОПС/ПО и/или работниками банка/ОПС/ПО компьютерной(-ых) рабочей(-их) станции(-й) контролера/ группы контролеров.";</w:t>
      </w:r>
    </w:p>
    <w:p w14:paraId="47F328D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4.6 изложить в следующей редакции:</w:t>
      </w:r>
    </w:p>
    <w:p w14:paraId="567284F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"4.6. Прямой банковский надзор за деятельностью банка осуществляется на основании данных бухгалтерского учета банка, а также отчетов (периодичность определяется КПН) банка, включая отчеты и данные контролера/группы контролеров, содержащие информацию о:</w:t>
      </w:r>
    </w:p>
    <w:p w14:paraId="0263CEC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проблемных (просроченных, классифицированных, пролонгированных, реструктуризированных) активах (анализ причин ухудшения качества актива, предпринятые меры по возврату активов/кредитов, в том числе сумм на внесистемном учете банка, данные о ликвидности и состоянии залогового обеспечения и др.);</w:t>
      </w:r>
    </w:p>
    <w:p w14:paraId="4A01447F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классификации всех активов, включая при необходимости оценку/прогноз изменений в качестве и классификации активов в ближайшей перспективе (не более чем за одну неделю), с выделением активов, составляющих крупный риск, и активов без залогового обеспечения, данные о размере созданного резерва на покрытие потенциальных потерь и убытков (далее - РППУ).</w:t>
      </w:r>
    </w:p>
    <w:p w14:paraId="2DAD948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этом классификация активов рассматривается контролером/группой контролеров на выборочной основе, исходя из профиля риска банка, а также с учетом качества управления риском, которая при необходимости должна быть изучена детально;</w:t>
      </w:r>
    </w:p>
    <w:p w14:paraId="7728E2F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текущем состоянии ликвидности (структура активов и обязательств банка, прогноз по выполнению текущих обязательств, данные об источниках финансирования, анализ разрывов в сроках погашения активов/обязательств и др.);</w:t>
      </w:r>
    </w:p>
    <w:p w14:paraId="76977C8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способности (неспособности) руководства банка при выполнении ими должностных обязанностей обеспечить безопасную, надежную и эффективную деятельность в соответствии с законодательством и требованиями Национального банка.";</w:t>
      </w:r>
    </w:p>
    <w:p w14:paraId="2C91822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4.8 изложить в следующей редакции:</w:t>
      </w:r>
    </w:p>
    <w:p w14:paraId="653A67F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"4.8. В случае отказа банка/ОПС/ПО и/или его должностных лиц исполнить постановление КПН/КПС о введении прямого банковского надзора или создания препятствий для осуществления прямого банковского надзора, а также нарушения норм постановления КПН/КПС, в том числе отдельных пунктов постановления КПН/КПС, контролером/группой контролеров составляется акт о противодействии проведению прямого банковского надзора (далее - акт о противодействии), который подписывается контролером/руководителем и всеми членами группы</w:t>
      </w:r>
      <w:r>
        <w:rPr>
          <w:rFonts w:ascii="Arial" w:hAnsi="Arial" w:cs="Arial"/>
        </w:rPr>
        <w:t xml:space="preserve"> контролеров (согласно приложениям 1 и 2), а также руководством и сотрудниками банка/ОПС/ПО, создавшими препятствия для осуществления режима прямого банковского надзора.</w:t>
      </w:r>
    </w:p>
    <w:p w14:paraId="0CB3FE4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При отказе банка/ОПС/ПО подписать акт о противодействии один экземпляр составленного акта в банке/ОПС/ПО без подписи представителя банка/ОПС/ПО, с отметкой об отказе от подписания, направляется в банк/ОПС/ПО с сопроводительным письмом структурного подразделения Национального банка.</w:t>
      </w:r>
    </w:p>
    <w:p w14:paraId="702E8118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Акт о противодействии осуществлению прямого банковского надзора в обязательном порядке подлежит регистрации в банке/ОПС/ПО в качестве входящей корреспонденции с указанием даты, входящего номера и сведений о лице, зарегистрировавшем данный документ.</w:t>
      </w:r>
    </w:p>
    <w:p w14:paraId="431B625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случае отказа банка/ОПС/ПО принять и зарегистрировать акт о противодействии в качестве входящей корреспонденции, акт направляется группой контролеров в Национальный банк для принятия мер в отношении лиц, оказавших противодействие осуществлению прямого банковского надзора.</w:t>
      </w:r>
    </w:p>
    <w:p w14:paraId="0C99725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Акт о противодействии осуществлению прямого банковского надзора является официальным документом Национального банка, свидетельствующим о нарушении требований банковского законодательства Кыргызской Республики, и может быть использован в качестве основания для применения к банку/ОПС/ПО или его должностным лицам мер воздействий в соответствии с банковским законодательством Кыргызской Республики.</w:t>
      </w:r>
    </w:p>
    <w:p w14:paraId="75C32972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случае нарушения банком/ОПС/ПО требований настоящего Положения, нормативных правовых актов Национального банка, а также законодательства Кыргызской Республики и/или режима прямого банковского надзора, установленного постановлениями КПН/КПС (поручений, ограничений), Национальный банк вправе применить к банку/ОПС/ПО и его руководству меры воздействия в соответствии с банковским и платежным законодательством, включая отзыв лицензии на осуществление банковских операций.".</w:t>
      </w:r>
    </w:p>
    <w:p w14:paraId="5B19F81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2. Внести в </w:t>
      </w:r>
      <w:hyperlink r:id="rId25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Правления Национального банка Кыргызской Республики "Об утверждении </w:t>
      </w:r>
      <w:hyperlink r:id="rId26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 от 17 мая 2017 года № 19/13 следующие изменения:</w:t>
      </w:r>
    </w:p>
    <w:p w14:paraId="0E4E958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27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досудебном регулировании споров между Национальным банком Кыргызской Республики и коммерческими банками, организациями, осуществляющими отдельные виды банковских операций, и их учредителями (участниками), юридическими и физическими лицами", утвержденном вышеуказанным </w:t>
      </w:r>
      <w:hyperlink r:id="rId28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77CBC88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4 изложить в следующей редакции:</w:t>
      </w:r>
    </w:p>
    <w:p w14:paraId="5FD853A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"4. Любое лицо, в отношении которого принято решение Национального банка, имеет право обжаловать это решение лицу или органу, осуществляющему разбирательство, в порядке, установленном настоящим Положением.";</w:t>
      </w:r>
    </w:p>
    <w:p w14:paraId="090F316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11:</w:t>
      </w:r>
    </w:p>
    <w:p w14:paraId="26E7D5B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подпункт 1 изложить в следующей редакции:</w:t>
      </w:r>
    </w:p>
    <w:p w14:paraId="26FE093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"1) название и адрес, в том числе электронный адрес банка или другого юридического лица;";</w:t>
      </w:r>
    </w:p>
    <w:p w14:paraId="7AB4975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подпункт 2 изложить в следующей редакции:</w:t>
      </w:r>
    </w:p>
    <w:p w14:paraId="7D1EB0F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"2) фамилию, имя, отчество, место работы, должность, место жительства апеллянта, электронный адрес, если он является физическим лицом;";</w:t>
      </w:r>
    </w:p>
    <w:p w14:paraId="1D77847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подпункт 3 изложить в следующей редакции:</w:t>
      </w:r>
    </w:p>
    <w:p w14:paraId="0D20AA0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"3) фамилию, имя, отчество, рабочий адрес, электронный адрес и номер телефона лица, которое представляет интересы апеллянта при разбирательстве, на основании надлежащим образом оформленной доверенности (копия доверенности прилагается к заявлению, оригинал доверенности предоставляется лицу или органу, осуществляющему разбирательство);";</w:t>
      </w:r>
    </w:p>
    <w:p w14:paraId="3926E91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16 дополнить абзацем следующего содержания:</w:t>
      </w:r>
    </w:p>
    <w:p w14:paraId="24C8F372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"Вышеуказанное </w:t>
      </w:r>
      <w:r>
        <w:rPr>
          <w:rFonts w:ascii="Arial" w:hAnsi="Arial" w:cs="Arial"/>
        </w:rPr>
        <w:t>мнение может быть направлено апеллянту посредством электронной почты. Отправка мнения ответственного структурного подразделения и юридического управления Национального банка в сроки, предусмотренные настоящим пунктом, на адрес электронной почты, указанной апеллянтом в заявлении об апелляции, считается надлежащим доведением до сведения информации апеллянту.".</w:t>
      </w:r>
    </w:p>
    <w:p w14:paraId="4C3018F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3. Внести в </w:t>
      </w:r>
      <w:hyperlink r:id="rId29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30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лицензировании деятельности банков" от 8 июня 2017 года № 2017-П-12/23-1-(НПА) следующее изменение:</w:t>
      </w:r>
    </w:p>
    <w:p w14:paraId="6C3A3FD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31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лицензировании деятельности банков", утвержденном вышеуказанным </w:t>
      </w:r>
      <w:hyperlink r:id="rId32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11B067A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абзац шестой пункта 151 дополнить предложением следующего содержания:</w:t>
      </w:r>
    </w:p>
    <w:p w14:paraId="378593B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"Если информация о нарушении законодательства Кыргызской Республики кандидатом содержится в других официальных документах Национального банка, срок составляет 1 (один) год со дня выявления нарушения;".</w:t>
      </w:r>
    </w:p>
    <w:p w14:paraId="1A818F3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4. Внести в </w:t>
      </w:r>
      <w:hyperlink r:id="rId33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34" w:history="1">
        <w:r>
          <w:rPr>
            <w:rStyle w:val="a3"/>
            <w:rFonts w:ascii="Arial" w:hAnsi="Arial" w:cs="Arial"/>
          </w:rPr>
          <w:t>Положения</w:t>
        </w:r>
      </w:hyperlink>
      <w:r>
        <w:rPr>
          <w:rFonts w:ascii="Arial" w:hAnsi="Arial" w:cs="Arial"/>
        </w:rPr>
        <w:t xml:space="preserve"> "О ликвидации банков" от 8 июня 2017 года № 2017-П-12/23-5-(НПА) следующее изменение:</w:t>
      </w:r>
    </w:p>
    <w:p w14:paraId="77608E8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35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ликвидации банков", утвержденном вышеуказанным </w:t>
      </w:r>
      <w:hyperlink r:id="rId36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E49489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 изложить в следующей редакции:</w:t>
      </w:r>
    </w:p>
    <w:p w14:paraId="6C73418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"3. Ликвидатором банка может быть лицо, соответствующее квалификационным и иным требованиям, установленным для ликвидатора банка.".</w:t>
      </w:r>
    </w:p>
    <w:p w14:paraId="1CA6462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5. Внести в </w:t>
      </w:r>
      <w:hyperlink r:id="rId37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 </w:t>
      </w:r>
      <w:hyperlink r:id="rId38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мерах воздействия, применяемых к банкам, лицензируемым Национальным банком Кыргызской Республики" от 15 июня 2017 года № 2017-П-12/25-4-(НПА) следующие изменения:</w:t>
      </w:r>
    </w:p>
    <w:p w14:paraId="31DE9CF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39" w:history="1">
        <w:r>
          <w:rPr>
            <w:rStyle w:val="a3"/>
            <w:rFonts w:ascii="Arial" w:hAnsi="Arial" w:cs="Arial"/>
          </w:rPr>
          <w:t>Положении</w:t>
        </w:r>
      </w:hyperlink>
      <w:r>
        <w:rPr>
          <w:rFonts w:ascii="Arial" w:hAnsi="Arial" w:cs="Arial"/>
        </w:rPr>
        <w:t xml:space="preserve"> "О мерах воздействия, применяемых к банкам, лицензируемым Национальным банком Кыргызской Республики", утвержденном вышеуказанным </w:t>
      </w:r>
      <w:hyperlink r:id="rId40" w:history="1">
        <w:r>
          <w:rPr>
            <w:rStyle w:val="a3"/>
            <w:rFonts w:ascii="Arial" w:hAnsi="Arial" w:cs="Arial"/>
          </w:rPr>
          <w:t>постановлением</w:t>
        </w:r>
      </w:hyperlink>
      <w:r>
        <w:rPr>
          <w:rFonts w:ascii="Arial" w:hAnsi="Arial" w:cs="Arial"/>
        </w:rPr>
        <w:t>:</w:t>
      </w:r>
    </w:p>
    <w:p w14:paraId="443966AF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19 изложить в следующей редакции:</w:t>
      </w:r>
    </w:p>
    <w:p w14:paraId="69251A1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"19. Меры воздействия Национального банка могут применяться в форме постановлений Правления Национального банка или Комитета по надзору Национального банка, предписаний или требований заместителя председателя/члена Правления Национального банка, курирующего надзорный блок, начальников структурных подразделений Национального банка. При этом указанные документы являются обязательными к исполнению.</w:t>
      </w:r>
    </w:p>
    <w:p w14:paraId="4F65FDD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Национальный банк вправе применить более строгие меры воздействия за невыполнение или ненадлежащее выполнение требований, содержащихся в постановлениях Правления Национального банка, Комитета по надзору Национального банка, предписаниях или требованиях заместителя председателя/члена Правления Национального банка, курирующего надзорный блок, и начальников структурных подразделений Национального банка.";</w:t>
      </w:r>
    </w:p>
    <w:p w14:paraId="16C881D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21 изложить в следующей редакции:</w:t>
      </w:r>
    </w:p>
    <w:p w14:paraId="2528FECD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"21. Предписание - мера воздействия Национального банка, содержащая письменное указание, которое обязательно для исполнения в установленные сроки.</w:t>
      </w:r>
    </w:p>
    <w:p w14:paraId="30C3CA1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Предписание применяется для устранения выявленных нарушений в деятельности банка, а также с целью раннего реагирования, корректировки и предупреждения проблем, которые могут возникнуть у банка в случае непринятия своевременных мер по устранению имеющихся недостатков в его деятельности.</w:t>
      </w:r>
    </w:p>
    <w:p w14:paraId="622C1F4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предписании указываются конкретные ссылки на положения нормативных правовых актов Кыргызской Республики, в том числе Национального банка, которые были нарушены банком, его акционерами и должностными лицами, а также срок для их устранения.</w:t>
      </w:r>
    </w:p>
    <w:p w14:paraId="51B9DC7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зависимости от выявленного нарушения, а также выявленных рисков, угрожающих стабильности и надежности деятельности банка, предписание может содержать требование:</w:t>
      </w:r>
    </w:p>
    <w:p w14:paraId="624B6EA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об устранении нарушения (о приведении к установленному уровню значений обязательных нормативов, лимитов открытой валютной позиции; выполнении обязательств перед кредиторами и вкладчиками и другие);</w:t>
      </w:r>
    </w:p>
    <w:p w14:paraId="02E03FE8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приведении деятельности банка в соответствие;</w:t>
      </w:r>
    </w:p>
    <w:p w14:paraId="70004ED7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о выполнении определенных действий, в том числе снижающих/оптимизирующих уровень принимаемого банком риска при проведении отдельных операций/сделок.";</w:t>
      </w:r>
    </w:p>
    <w:p w14:paraId="56DD8AB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23 изложить в следующей редакции:</w:t>
      </w:r>
    </w:p>
    <w:p w14:paraId="0C1F5B9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"23. После направления предписания ответственное структурное подразделение Национального банка обеспечивает контроль по исполнению банком предписания в установленные сроки и предпринимает незамедлительные последующие меры, в том числе по применению более строгих мер воздействий в случае его неисполнения или ненадлежащего исполнения.";</w:t>
      </w:r>
    </w:p>
    <w:p w14:paraId="2A09397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24 изложить в следующей редакции:</w:t>
      </w:r>
    </w:p>
    <w:p w14:paraId="3EEDADD8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"24. Штраф - мера воздействия Национального банка в виде денежного взыскания, налагаемого в случае нарушения банком/должностным лицом банка норм, требований и ограничений, установленных законами Кыргызской Республики "О Национальном банке Кыргызской Республики, банках и банковской деятельности", "О противодействии финансированию террористической деятельности и легализации (отмыванию) преступных доходов", "О защите банковских вкладов (депозитов)", иными нормативными правовыми актами Кыргызской Республики, но</w:t>
      </w:r>
      <w:r>
        <w:rPr>
          <w:rFonts w:ascii="Arial" w:hAnsi="Arial" w:cs="Arial"/>
        </w:rPr>
        <w:t>рмативными правовыми актами Национального банка, а также за неисполнение или ненадлежащее исполнение иных мер воздействий Национального банка.</w:t>
      </w:r>
    </w:p>
    <w:p w14:paraId="3F3312BB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Комитет по надзору Национального банка вправе наложить штраф:</w:t>
      </w:r>
    </w:p>
    <w:p w14:paraId="256272EA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1) в размере не более десяти процентов от норматива минимального размера уставного капитала - в отношении банка;</w:t>
      </w:r>
    </w:p>
    <w:p w14:paraId="4CDF52D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2) в размере не </w:t>
      </w:r>
      <w:r>
        <w:rPr>
          <w:rFonts w:ascii="Arial" w:hAnsi="Arial" w:cs="Arial"/>
        </w:rPr>
        <w:t>более среднего годового вознаграждения, включая все виды выплат (должностной оклад, премии, бонусы и др.), - в отношении должностного лица банка.</w:t>
      </w:r>
    </w:p>
    <w:p w14:paraId="2E793DFF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Размер среднего годового вознаграждения должностного лица рассчитывается по следующей формуле:</w:t>
      </w:r>
    </w:p>
    <w:p w14:paraId="7C4C3534" w14:textId="77777777" w:rsidR="00870460" w:rsidRDefault="00870460">
      <w:pPr>
        <w:spacing w:after="60" w:line="276" w:lineRule="auto"/>
        <w:ind w:firstLine="567"/>
        <w:jc w:val="both"/>
      </w:pPr>
      <w:r>
        <w:t> </w:t>
      </w:r>
    </w:p>
    <w:p w14:paraId="12A1F65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/ 3 / 29,6 * 365,   где:</w:t>
      </w:r>
    </w:p>
    <w:p w14:paraId="6A752BF8" w14:textId="77777777" w:rsidR="00870460" w:rsidRDefault="00870460">
      <w:pPr>
        <w:spacing w:after="60" w:line="276" w:lineRule="auto"/>
        <w:ind w:firstLine="567"/>
        <w:jc w:val="both"/>
      </w:pPr>
      <w:r>
        <w:t> </w:t>
      </w:r>
    </w:p>
    <w:p w14:paraId="2C24AF4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- вознаграждение должностного лица за последние 3 месяца, включая все виды выплат (должностной оклад, премии, бонусы и др.), за вычетом обязательных налоговых платежей и социальных отчислений, предусмотренных законодательством Кыргызской Республики;</w:t>
      </w:r>
    </w:p>
    <w:p w14:paraId="1665C72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3 - количество месяцев;</w:t>
      </w:r>
    </w:p>
    <w:p w14:paraId="59962D7C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29,6 - среднемесячное число календарных дней;</w:t>
      </w:r>
    </w:p>
    <w:p w14:paraId="715BD3B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365 - количество дней в году.";</w:t>
      </w:r>
    </w:p>
    <w:p w14:paraId="6AD64CB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пункт 32 изложить в следующей редакции:</w:t>
      </w:r>
    </w:p>
    <w:p w14:paraId="3A496FD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"32. Требование - мера воздействия Национального банка, обязывающая банк выполнить действие или мероприятие по:</w:t>
      </w:r>
    </w:p>
    <w:p w14:paraId="2E53FB2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проведению мероприятий по финансовому оздоровлению, реструктуризации и/или реорганизации банка;</w:t>
      </w:r>
    </w:p>
    <w:p w14:paraId="66D6A031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проведению повторного/специального внешнего аудита банка;</w:t>
      </w:r>
    </w:p>
    <w:p w14:paraId="52CC6B44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продаже акций банка в течение определенного Национальным банком срока;</w:t>
      </w:r>
    </w:p>
    <w:p w14:paraId="073BE606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сокращению административных расходов;</w:t>
      </w:r>
    </w:p>
    <w:p w14:paraId="1FF4314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изменению организационной структуры банка;</w:t>
      </w:r>
    </w:p>
    <w:p w14:paraId="7612192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изменению политик, положений, процедур и других внутренних нормативных документов банка.".</w:t>
      </w:r>
    </w:p>
    <w:p w14:paraId="2F5BA9C9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6. Внести в </w:t>
      </w:r>
      <w:hyperlink r:id="rId41" w:history="1">
        <w:r>
          <w:rPr>
            <w:rStyle w:val="a3"/>
            <w:rFonts w:ascii="Arial" w:hAnsi="Arial" w:cs="Arial"/>
          </w:rPr>
          <w:t>постановление</w:t>
        </w:r>
      </w:hyperlink>
      <w:r>
        <w:rPr>
          <w:rFonts w:ascii="Arial" w:hAnsi="Arial" w:cs="Arial"/>
        </w:rPr>
        <w:t xml:space="preserve"> Правления Национального банка Кыргызской Республики "Об утверждении </w:t>
      </w:r>
      <w:hyperlink r:id="rId42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об осуществлении банковского надзора" от 20 июня 2018 года № 2018-П-12/24-2-(НПА) следующие изменения:</w:t>
      </w:r>
    </w:p>
    <w:p w14:paraId="6A8D5BE8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 xml:space="preserve">в </w:t>
      </w:r>
      <w:hyperlink r:id="rId43" w:history="1">
        <w:r>
          <w:rPr>
            <w:rStyle w:val="a3"/>
            <w:rFonts w:ascii="Arial" w:hAnsi="Arial" w:cs="Arial"/>
          </w:rPr>
          <w:t>Инструкции</w:t>
        </w:r>
      </w:hyperlink>
      <w:r>
        <w:rPr>
          <w:rFonts w:ascii="Arial" w:hAnsi="Arial" w:cs="Arial"/>
        </w:rPr>
        <w:t xml:space="preserve"> об осуществлении банковского надзора, утвержденной вышеуказанным </w:t>
      </w:r>
      <w:hyperlink r:id="rId44" w:history="1">
        <w:r>
          <w:rPr>
            <w:rStyle w:val="a3"/>
            <w:rFonts w:ascii="Arial" w:hAnsi="Arial" w:cs="Arial"/>
          </w:rPr>
          <w:t>постановлением:</w:t>
        </w:r>
      </w:hyperlink>
    </w:p>
    <w:p w14:paraId="4C0BD5F5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- в пункте 24:</w:t>
      </w:r>
    </w:p>
    <w:p w14:paraId="7D1BE973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в абзаце первом слово "сообщается" заменить словом "сообщает";</w:t>
      </w:r>
    </w:p>
    <w:p w14:paraId="32D7CBA0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абзац второй изложить в следующей редакции:</w:t>
      </w:r>
    </w:p>
    <w:p w14:paraId="1BAB93DE" w14:textId="77777777" w:rsidR="00870460" w:rsidRDefault="00870460">
      <w:pPr>
        <w:spacing w:after="60" w:line="276" w:lineRule="auto"/>
        <w:ind w:firstLine="567"/>
        <w:jc w:val="both"/>
      </w:pPr>
      <w:r>
        <w:rPr>
          <w:rFonts w:ascii="Arial" w:hAnsi="Arial" w:cs="Arial"/>
        </w:rPr>
        <w:t>"Представители банка, препятствующие инспекторской проверке банка или не предоставляющие требуемую информацию, подписывают акт о противодействии в двух экземплярах. Один экземпляр составленного акта передается банку, другой экземпляр хранится у инспекторов Национального банка. При отказе подписать акт о противодействии со стороны банка один экземпляр составленного акта в банке без подписи представителя банка с отметкой об отказе от подписи направляется в банк с сопроводительным письмом структурного подразде</w:t>
      </w:r>
      <w:r>
        <w:rPr>
          <w:rFonts w:ascii="Arial" w:hAnsi="Arial" w:cs="Arial"/>
        </w:rPr>
        <w:t>ления Национального банка. Акт о противодействии является официальным документом Национального банка, свидетельствующим о нарушении банком/его должностным лицом требований банковского законодательства Кыргызской Республики, и может быть использован в качестве основания для применения к банку или его должностным лицам мер воздействий в соответствии с банковским законодательством Кыргызской Республики</w:t>
      </w:r>
    </w:p>
    <w:p w14:paraId="20545DDA" w14:textId="77777777" w:rsidR="00870460" w:rsidRDefault="00870460">
      <w:r>
        <w:t> </w:t>
      </w:r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web"/>
  <w:zoom w:percent="100"/>
  <w:defaultTabStop w:val="708"/>
  <w:noPunctuationKerning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70460"/>
    <w:rsid w:val="008704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A491439"/>
  <w15:chartTrackingRefBased/>
  <w15:docId w15:val="{82AC0820-E398-471A-AAEA-7786A3BB3C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eastAsiaTheme="minorEastAsia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Pr>
      <w:rFonts w:ascii="Tahoma" w:hAnsi="Tahoma" w:cs="Tahoma" w:hint="default"/>
    </w:rPr>
  </w:style>
  <w:style w:type="paragraph" w:customStyle="1" w:styleId="tkNazvanie">
    <w:name w:val="_Название (tkNazvanie)"/>
    <w:basedOn w:val="a"/>
    <w:pPr>
      <w:spacing w:before="400" w:after="400" w:line="276" w:lineRule="auto"/>
      <w:ind w:left="1134" w:right="1134"/>
      <w:jc w:val="center"/>
    </w:pPr>
    <w:rPr>
      <w:rFonts w:ascii="Arial" w:hAnsi="Arial" w:cs="Arial"/>
      <w:b/>
      <w:bCs/>
    </w:rPr>
  </w:style>
  <w:style w:type="paragraph" w:customStyle="1" w:styleId="tkTekst">
    <w:name w:val="_Текст обычный (tkTekst)"/>
    <w:basedOn w:val="a"/>
    <w:pPr>
      <w:spacing w:after="60" w:line="276" w:lineRule="auto"/>
      <w:ind w:firstLine="567"/>
      <w:jc w:val="both"/>
    </w:pPr>
    <w:rPr>
      <w:rFonts w:ascii="Arial" w:hAnsi="Arial" w:cs="Arial"/>
      <w:sz w:val="20"/>
      <w:szCs w:val="20"/>
    </w:rPr>
  </w:style>
  <w:style w:type="paragraph" w:customStyle="1" w:styleId="msochpdefault">
    <w:name w:val="msochpdefault"/>
    <w:basedOn w:val="a"/>
    <w:pPr>
      <w:spacing w:before="100" w:beforeAutospacing="1" w:after="100" w:afterAutospacing="1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cbd.minjust.gov.kg/302526" TargetMode="External"/><Relationship Id="rId13" Type="http://schemas.openxmlformats.org/officeDocument/2006/relationships/hyperlink" Target="https://cbd.minjust.gov.kg/800233" TargetMode="External"/><Relationship Id="rId18" Type="http://schemas.openxmlformats.org/officeDocument/2006/relationships/hyperlink" Target="https://cbd.minjust.gov.kg/800098" TargetMode="External"/><Relationship Id="rId26" Type="http://schemas.openxmlformats.org/officeDocument/2006/relationships/hyperlink" Target="https://cbd.minjust.gov.kg/800227" TargetMode="External"/><Relationship Id="rId39" Type="http://schemas.openxmlformats.org/officeDocument/2006/relationships/hyperlink" Target="https://cbd.minjust.gov.kg/800231" TargetMode="External"/><Relationship Id="rId3" Type="http://schemas.openxmlformats.org/officeDocument/2006/relationships/webSettings" Target="webSettings.xml"/><Relationship Id="rId21" Type="http://schemas.openxmlformats.org/officeDocument/2006/relationships/hyperlink" Target="https://cbd.minjust.gov.kg/302526" TargetMode="External"/><Relationship Id="rId34" Type="http://schemas.openxmlformats.org/officeDocument/2006/relationships/hyperlink" Target="https://cbd.minjust.gov.kg/800764" TargetMode="External"/><Relationship Id="rId42" Type="http://schemas.openxmlformats.org/officeDocument/2006/relationships/hyperlink" Target="https://cbd.minjust.gov.kg/800098" TargetMode="External"/><Relationship Id="rId7" Type="http://schemas.openxmlformats.org/officeDocument/2006/relationships/hyperlink" Target="https://cbd.minjust.gov.kg/800762" TargetMode="External"/><Relationship Id="rId12" Type="http://schemas.openxmlformats.org/officeDocument/2006/relationships/hyperlink" Target="https://cbd.minjust.gov.kg/800234" TargetMode="External"/><Relationship Id="rId17" Type="http://schemas.openxmlformats.org/officeDocument/2006/relationships/hyperlink" Target="https://cbd.minjust.gov.kg/800230" TargetMode="External"/><Relationship Id="rId25" Type="http://schemas.openxmlformats.org/officeDocument/2006/relationships/hyperlink" Target="https://cbd.minjust.gov.kg/800226" TargetMode="External"/><Relationship Id="rId33" Type="http://schemas.openxmlformats.org/officeDocument/2006/relationships/hyperlink" Target="https://cbd.minjust.gov.kg/800763" TargetMode="External"/><Relationship Id="rId38" Type="http://schemas.openxmlformats.org/officeDocument/2006/relationships/hyperlink" Target="https://cbd.minjust.gov.kg/800231" TargetMode="External"/><Relationship Id="rId46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hyperlink" Target="https://cbd.minjust.gov.kg/800231" TargetMode="External"/><Relationship Id="rId20" Type="http://schemas.openxmlformats.org/officeDocument/2006/relationships/hyperlink" Target="https://cbd.minjust.gov.kg/300823" TargetMode="External"/><Relationship Id="rId29" Type="http://schemas.openxmlformats.org/officeDocument/2006/relationships/hyperlink" Target="https://cbd.minjust.gov.kg/800233" TargetMode="External"/><Relationship Id="rId41" Type="http://schemas.openxmlformats.org/officeDocument/2006/relationships/hyperlink" Target="https://cbd.minjust.gov.kg/800090" TargetMode="External"/><Relationship Id="rId1" Type="http://schemas.openxmlformats.org/officeDocument/2006/relationships/styles" Target="styles.xml"/><Relationship Id="rId6" Type="http://schemas.openxmlformats.org/officeDocument/2006/relationships/hyperlink" Target="https://cbd.minjust.gov.kg/111486" TargetMode="External"/><Relationship Id="rId11" Type="http://schemas.openxmlformats.org/officeDocument/2006/relationships/hyperlink" Target="https://cbd.minjust.gov.kg/800226" TargetMode="External"/><Relationship Id="rId24" Type="http://schemas.openxmlformats.org/officeDocument/2006/relationships/hyperlink" Target="https://cbd.minjust.gov.kg/302526" TargetMode="External"/><Relationship Id="rId32" Type="http://schemas.openxmlformats.org/officeDocument/2006/relationships/hyperlink" Target="https://cbd.minjust.gov.kg/800233" TargetMode="External"/><Relationship Id="rId37" Type="http://schemas.openxmlformats.org/officeDocument/2006/relationships/hyperlink" Target="https://cbd.minjust.gov.kg/800230" TargetMode="External"/><Relationship Id="rId40" Type="http://schemas.openxmlformats.org/officeDocument/2006/relationships/hyperlink" Target="https://cbd.minjust.gov.kg/800230" TargetMode="External"/><Relationship Id="rId45" Type="http://schemas.openxmlformats.org/officeDocument/2006/relationships/fontTable" Target="fontTable.xml"/><Relationship Id="rId5" Type="http://schemas.openxmlformats.org/officeDocument/2006/relationships/hyperlink" Target="https://cbd.minjust.gov.kg/111486" TargetMode="External"/><Relationship Id="rId15" Type="http://schemas.openxmlformats.org/officeDocument/2006/relationships/hyperlink" Target="https://cbd.minjust.gov.kg/800763" TargetMode="External"/><Relationship Id="rId23" Type="http://schemas.openxmlformats.org/officeDocument/2006/relationships/hyperlink" Target="https://cbd.minjust.gov.kg/300823" TargetMode="External"/><Relationship Id="rId28" Type="http://schemas.openxmlformats.org/officeDocument/2006/relationships/hyperlink" Target="https://cbd.minjust.gov.kg/800226" TargetMode="External"/><Relationship Id="rId36" Type="http://schemas.openxmlformats.org/officeDocument/2006/relationships/hyperlink" Target="https://cbd.minjust.gov.kg/800763" TargetMode="External"/><Relationship Id="rId10" Type="http://schemas.openxmlformats.org/officeDocument/2006/relationships/hyperlink" Target="https://cbd.minjust.gov.kg/800227" TargetMode="External"/><Relationship Id="rId19" Type="http://schemas.openxmlformats.org/officeDocument/2006/relationships/hyperlink" Target="https://cbd.minjust.gov.kg/800090" TargetMode="External"/><Relationship Id="rId31" Type="http://schemas.openxmlformats.org/officeDocument/2006/relationships/hyperlink" Target="https://cbd.minjust.gov.kg/800234" TargetMode="External"/><Relationship Id="rId44" Type="http://schemas.openxmlformats.org/officeDocument/2006/relationships/hyperlink" Target="https://cbd.minjust.gov.kg/800090" TargetMode="External"/><Relationship Id="rId4" Type="http://schemas.openxmlformats.org/officeDocument/2006/relationships/image" Target="media/image1.jpg"/><Relationship Id="rId9" Type="http://schemas.openxmlformats.org/officeDocument/2006/relationships/hyperlink" Target="https://cbd.minjust.gov.kg/300823" TargetMode="External"/><Relationship Id="rId14" Type="http://schemas.openxmlformats.org/officeDocument/2006/relationships/hyperlink" Target="https://cbd.minjust.gov.kg/800764" TargetMode="External"/><Relationship Id="rId22" Type="http://schemas.openxmlformats.org/officeDocument/2006/relationships/hyperlink" Target="https://cbd.minjust.gov.kg/302526" TargetMode="External"/><Relationship Id="rId27" Type="http://schemas.openxmlformats.org/officeDocument/2006/relationships/hyperlink" Target="https://cbd.minjust.gov.kg/800227" TargetMode="External"/><Relationship Id="rId30" Type="http://schemas.openxmlformats.org/officeDocument/2006/relationships/hyperlink" Target="https://cbd.minjust.gov.kg/800234" TargetMode="External"/><Relationship Id="rId35" Type="http://schemas.openxmlformats.org/officeDocument/2006/relationships/hyperlink" Target="https://cbd.minjust.gov.kg/800764" TargetMode="External"/><Relationship Id="rId43" Type="http://schemas.openxmlformats.org/officeDocument/2006/relationships/hyperlink" Target="https://cbd.minjust.gov.kg/80009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4329</Words>
  <Characters>24678</Characters>
  <Application>Microsoft Office Word</Application>
  <DocSecurity>0</DocSecurity>
  <Lines>205</Lines>
  <Paragraphs>57</Paragraphs>
  <ScaleCrop>false</ScaleCrop>
  <Company/>
  <LinksUpToDate>false</LinksUpToDate>
  <CharactersWithSpaces>28950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2023-12-15T21:36:00Z</dcterms:created>
  <dcterms:modified xsi:type="dcterms:W3CDTF">2023-12-15T21:36:00Z</dcterms:modified>
</cp:coreProperties>
</file>