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94D43" w:rsidRDefault="00294D43">
      <w:pPr>
        <w:spacing w:after="480"/>
        <w:ind w:firstLine="397"/>
        <w:jc w:val="center"/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1152525" cy="1152525"/>
            <wp:effectExtent l="0" t="0" r="9525" b="9525"/>
            <wp:docPr id="1" name="Рисунок 1" descr="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C:\Users\User\AppData\Local\Temp\CdbDocEditor\370eb16a-1834-4e46-b630-220a01fbe110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C:\Users\User\AppData\Local\Temp\CdbDocEditor\370eb16a-1834-4e46-b630-220a01fbe110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D43" w:rsidRDefault="00294D43">
      <w:pPr>
        <w:spacing w:after="480"/>
        <w:ind w:firstLine="397"/>
        <w:jc w:val="center"/>
      </w:pPr>
      <w:r>
        <w:rPr>
          <w:rFonts w:ascii="Arial" w:hAnsi="Arial" w:cs="Arial"/>
          <w:b/>
          <w:bCs/>
          <w:spacing w:val="5"/>
          <w:sz w:val="28"/>
          <w:szCs w:val="28"/>
        </w:rPr>
        <w:t>ПОСТАНОВЛЕНИЕ ПРАВЛЕНИЯ НАЦИОНАЛЬНОГО БАНКА КЫРГЫЗСКОЙ РЕСПУБЛИКИ</w:t>
      </w:r>
    </w:p>
    <w:p w:rsidR="00294D43" w:rsidRDefault="00294D43">
      <w:pPr>
        <w:pStyle w:val="tkRekvizit"/>
        <w:jc w:val="left"/>
      </w:pPr>
      <w:r>
        <w:rPr>
          <w:i w:val="0"/>
          <w:iCs w:val="0"/>
          <w:sz w:val="24"/>
          <w:szCs w:val="24"/>
        </w:rPr>
        <w:t>от 29 декабря 2021 года № 2021-П-12/75-3-(НПА)</w:t>
      </w:r>
    </w:p>
    <w:p w:rsidR="00294D43" w:rsidRDefault="00294D43">
      <w:pPr>
        <w:pStyle w:val="tkNazvanie"/>
      </w:pPr>
      <w:r>
        <w:t>О внесении изменений в некоторые нормативные правовые акты Национального банка Кыргызской Республики</w:t>
      </w:r>
    </w:p>
    <w:p w:rsidR="00294D43" w:rsidRDefault="00294D43">
      <w:pPr>
        <w:pStyle w:val="tkTekst"/>
      </w:pPr>
      <w:r>
        <w:rPr>
          <w:sz w:val="24"/>
          <w:szCs w:val="24"/>
        </w:rPr>
        <w:t xml:space="preserve">В соответствии со статьями </w:t>
      </w:r>
      <w:hyperlink r:id="rId5" w:anchor="st_20" w:history="1">
        <w:r>
          <w:rPr>
            <w:rStyle w:val="a3"/>
            <w:sz w:val="24"/>
            <w:szCs w:val="24"/>
          </w:rPr>
          <w:t>20</w:t>
        </w:r>
      </w:hyperlink>
      <w:r>
        <w:rPr>
          <w:sz w:val="24"/>
          <w:szCs w:val="24"/>
        </w:rPr>
        <w:t xml:space="preserve"> и </w:t>
      </w:r>
      <w:hyperlink r:id="rId6" w:anchor="st_68" w:history="1">
        <w:r>
          <w:rPr>
            <w:rStyle w:val="a3"/>
            <w:sz w:val="24"/>
            <w:szCs w:val="24"/>
          </w:rPr>
          <w:t>68</w:t>
        </w:r>
      </w:hyperlink>
      <w:r>
        <w:rPr>
          <w:sz w:val="24"/>
          <w:szCs w:val="24"/>
        </w:rPr>
        <w:t xml:space="preserve"> Закона Кыргызской Республики "О Национальном </w:t>
      </w:r>
      <w:r>
        <w:rPr>
          <w:sz w:val="24"/>
          <w:szCs w:val="24"/>
        </w:rPr>
        <w:t>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 w:rsidR="00294D43" w:rsidRDefault="00294D43">
      <w:pPr>
        <w:pStyle w:val="tkTekst"/>
      </w:pPr>
      <w:r>
        <w:rPr>
          <w:sz w:val="24"/>
          <w:szCs w:val="24"/>
        </w:rPr>
        <w:t xml:space="preserve">1. Внести </w:t>
      </w:r>
      <w:hyperlink r:id="rId7" w:anchor="pr" w:history="1">
        <w:r>
          <w:rPr>
            <w:rStyle w:val="a3"/>
            <w:sz w:val="24"/>
            <w:szCs w:val="24"/>
          </w:rPr>
          <w:t>изменения</w:t>
        </w:r>
      </w:hyperlink>
      <w:r>
        <w:rPr>
          <w:sz w:val="24"/>
          <w:szCs w:val="24"/>
        </w:rPr>
        <w:t xml:space="preserve"> в постановления Правления Национального банка Кыргызской Республики (прилагаются):</w:t>
      </w:r>
    </w:p>
    <w:p w:rsidR="00294D43" w:rsidRDefault="00294D43">
      <w:pPr>
        <w:pStyle w:val="tkTekst"/>
      </w:pPr>
      <w:r>
        <w:rPr>
          <w:sz w:val="24"/>
          <w:szCs w:val="24"/>
        </w:rPr>
        <w:t>- "Об утверждении "</w:t>
      </w:r>
      <w:hyperlink r:id="rId8" w:history="1">
        <w:r>
          <w:rPr>
            <w:rStyle w:val="a3"/>
            <w:sz w:val="24"/>
            <w:szCs w:val="24"/>
          </w:rPr>
          <w:t>Порядка</w:t>
        </w:r>
      </w:hyperlink>
      <w:r>
        <w:rPr>
          <w:sz w:val="24"/>
          <w:szCs w:val="24"/>
        </w:rPr>
        <w:t xml:space="preserve"> придания статуса неначисления процентного дохода" от </w:t>
      </w:r>
      <w:hyperlink r:id="rId9" w:history="1">
        <w:r>
          <w:rPr>
            <w:rStyle w:val="a3"/>
            <w:sz w:val="24"/>
            <w:szCs w:val="24"/>
          </w:rPr>
          <w:t>28 апреля 2004 года № 11/2</w:t>
        </w:r>
      </w:hyperlink>
      <w:r>
        <w:rPr>
          <w:sz w:val="24"/>
          <w:szCs w:val="24"/>
        </w:rPr>
        <w:t>;</w:t>
      </w:r>
    </w:p>
    <w:p w:rsidR="00294D43" w:rsidRDefault="00294D43">
      <w:pPr>
        <w:pStyle w:val="tkTekst"/>
      </w:pPr>
      <w:r>
        <w:rPr>
          <w:sz w:val="24"/>
          <w:szCs w:val="24"/>
        </w:rPr>
        <w:t xml:space="preserve">- "О некоторых нормативных правовых актах Национального банка Кыргызской Республики" от </w:t>
      </w:r>
      <w:hyperlink r:id="rId10" w:history="1">
        <w:r>
          <w:rPr>
            <w:rStyle w:val="a3"/>
            <w:sz w:val="24"/>
            <w:szCs w:val="24"/>
          </w:rPr>
          <w:t>25 августа 2005 года № 26/5</w:t>
        </w:r>
      </w:hyperlink>
      <w:r>
        <w:rPr>
          <w:sz w:val="24"/>
          <w:szCs w:val="24"/>
        </w:rPr>
        <w:t>;</w:t>
      </w:r>
    </w:p>
    <w:p w:rsidR="00294D43" w:rsidRDefault="00294D43">
      <w:pPr>
        <w:pStyle w:val="tkTekst"/>
      </w:pPr>
      <w:r>
        <w:rPr>
          <w:sz w:val="24"/>
          <w:szCs w:val="24"/>
        </w:rPr>
        <w:t xml:space="preserve">- "Об утверждении </w:t>
      </w:r>
      <w:hyperlink r:id="rId11" w:history="1">
        <w:r>
          <w:rPr>
            <w:rStyle w:val="a3"/>
            <w:sz w:val="24"/>
            <w:szCs w:val="24"/>
          </w:rPr>
          <w:t>Положения</w:t>
        </w:r>
      </w:hyperlink>
      <w:r>
        <w:rPr>
          <w:sz w:val="24"/>
          <w:szCs w:val="24"/>
        </w:rPr>
        <w:t xml:space="preserve"> "О периодическом регулятивном отчете банков, осуществляющих операции в соответствии с исламскими принципами банковского дела и финансирования" от </w:t>
      </w:r>
      <w:hyperlink r:id="rId12" w:history="1">
        <w:r>
          <w:rPr>
            <w:rStyle w:val="a3"/>
            <w:sz w:val="24"/>
            <w:szCs w:val="24"/>
          </w:rPr>
          <w:t>30 марта 2011 года № 20/4</w:t>
        </w:r>
      </w:hyperlink>
      <w:r>
        <w:rPr>
          <w:sz w:val="24"/>
          <w:szCs w:val="24"/>
        </w:rPr>
        <w:t>.</w:t>
      </w:r>
    </w:p>
    <w:p w:rsidR="00294D43" w:rsidRDefault="00294D43">
      <w:pPr>
        <w:pStyle w:val="tkTekst"/>
      </w:pPr>
      <w:r>
        <w:rPr>
          <w:sz w:val="24"/>
          <w:szCs w:val="24"/>
        </w:rPr>
        <w:t>2. Настоящее постановление вступает в силу с 1 января 2023 года.</w:t>
      </w:r>
    </w:p>
    <w:p w:rsidR="00294D43" w:rsidRDefault="00294D43">
      <w:pPr>
        <w:pStyle w:val="tkTekst"/>
      </w:pPr>
      <w:r>
        <w:rPr>
          <w:sz w:val="24"/>
          <w:szCs w:val="24"/>
        </w:rPr>
        <w:t>3. Юридическому управлению:</w:t>
      </w:r>
    </w:p>
    <w:p w:rsidR="00294D43" w:rsidRDefault="00294D43">
      <w:pPr>
        <w:pStyle w:val="tkTekst"/>
      </w:pPr>
      <w:r>
        <w:rPr>
          <w:sz w:val="24"/>
          <w:szCs w:val="24"/>
        </w:rPr>
        <w:t>- опубликовать настоящее постановление на официальном интернет-сайте Национального банка Кыргызской Республики;</w:t>
      </w:r>
    </w:p>
    <w:p w:rsidR="00294D43" w:rsidRDefault="00294D43">
      <w:pPr>
        <w:pStyle w:val="tkTekst"/>
      </w:pPr>
      <w:r>
        <w:rPr>
          <w:sz w:val="24"/>
          <w:szCs w:val="24"/>
        </w:rP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:rsidR="00294D43" w:rsidRDefault="00294D43">
      <w:pPr>
        <w:pStyle w:val="tkTekst"/>
      </w:pPr>
      <w:r>
        <w:rPr>
          <w:sz w:val="24"/>
          <w:szCs w:val="24"/>
        </w:rPr>
        <w:t>4. Управлению методологии надзора и лицензирования банков довести настоящее постановление до сведения коммерческих банков, ОЮЛ "Союз банков Кыргызстана",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 w:rsidR="00294D43" w:rsidRDefault="00294D43">
      <w:pPr>
        <w:pStyle w:val="tkTekst"/>
      </w:pPr>
      <w:r>
        <w:rPr>
          <w:sz w:val="24"/>
          <w:szCs w:val="24"/>
        </w:rPr>
        <w:t>5.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 и лицензирования банков.</w:t>
      </w:r>
    </w:p>
    <w:p w:rsidR="00294D43" w:rsidRDefault="00294D43">
      <w:pPr>
        <w:spacing w:after="60" w:line="276" w:lineRule="auto"/>
        <w:ind w:firstLine="56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 w:line="276" w:lineRule="auto"/>
              <w:jc w:val="both"/>
            </w:pPr>
            <w:r>
              <w:rPr>
                <w:rFonts w:ascii="Arial" w:hAnsi="Arial" w:cs="Arial"/>
                <w:b/>
                <w:bCs/>
                <w:lang w:val="ky-KG"/>
              </w:rPr>
              <w:t>Төрага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 w:line="276" w:lineRule="auto"/>
              <w:ind w:firstLine="397"/>
              <w:jc w:val="right"/>
            </w:pPr>
            <w:r>
              <w:rPr>
                <w:rFonts w:ascii="Arial" w:hAnsi="Arial" w:cs="Arial"/>
                <w:b/>
                <w:bCs/>
                <w:lang w:val="ky-KG"/>
              </w:rPr>
              <w:t>К</w:t>
            </w:r>
            <w:r>
              <w:rPr>
                <w:rFonts w:ascii="Arial" w:hAnsi="Arial" w:cs="Arial"/>
                <w:b/>
                <w:bCs/>
              </w:rPr>
              <w:t>.</w:t>
            </w:r>
            <w:r>
              <w:rPr>
                <w:rFonts w:ascii="Arial" w:hAnsi="Arial" w:cs="Arial"/>
                <w:b/>
                <w:bCs/>
                <w:lang w:val="ky-KG"/>
              </w:rPr>
              <w:t>Боконтаев</w:t>
            </w:r>
          </w:p>
        </w:tc>
      </w:tr>
    </w:tbl>
    <w:p w:rsidR="00294D43" w:rsidRDefault="00294D43">
      <w:r>
        <w:t> </w:t>
      </w:r>
    </w:p>
    <w:p w:rsidR="00294D43" w:rsidRDefault="00294D43">
      <w:r>
        <w:t> </w:t>
      </w:r>
    </w:p>
    <w:p w:rsidR="00294D43" w:rsidRDefault="00294D43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 w:line="276" w:lineRule="auto"/>
              <w:jc w:val="center"/>
            </w:pPr>
            <w:bookmarkStart w:id="0" w:name="pr"/>
            <w:bookmarkEnd w:id="0"/>
            <w:r>
              <w:rPr>
                <w:rFonts w:ascii="Arial" w:hAnsi="Arial" w:cs="Arial"/>
              </w:rPr>
              <w:t>Приложение</w:t>
            </w:r>
            <w:r>
              <w:rPr>
                <w:rFonts w:ascii="Arial" w:hAnsi="Arial" w:cs="Arial"/>
              </w:rPr>
              <w:br/>
              <w:t>к постановлению Правления Национального банка Кыргызской Республики</w:t>
            </w:r>
            <w:r>
              <w:rPr>
                <w:rFonts w:ascii="Arial" w:hAnsi="Arial" w:cs="Arial"/>
              </w:rPr>
              <w:br/>
              <w:t>от 29 декабря 2021 года № 2021-П-12/75-3-(НПА)</w:t>
            </w:r>
          </w:p>
        </w:tc>
      </w:tr>
    </w:tbl>
    <w:p w:rsidR="00294D43" w:rsidRDefault="00294D43">
      <w:pPr>
        <w:spacing w:before="400" w:after="400" w:line="276" w:lineRule="auto"/>
        <w:ind w:left="1134" w:right="1134"/>
        <w:jc w:val="center"/>
      </w:pPr>
      <w:r>
        <w:rPr>
          <w:rFonts w:ascii="Arial" w:hAnsi="Arial" w:cs="Arial"/>
          <w:b/>
          <w:bCs/>
        </w:rPr>
        <w:t>Изменения</w:t>
      </w:r>
      <w:r>
        <w:rPr>
          <w:rFonts w:ascii="Arial" w:hAnsi="Arial" w:cs="Arial"/>
          <w:b/>
          <w:bCs/>
        </w:rPr>
        <w:br/>
        <w:t xml:space="preserve">в </w:t>
      </w:r>
      <w:r>
        <w:rPr>
          <w:rFonts w:ascii="Arial" w:hAnsi="Arial" w:cs="Arial"/>
          <w:b/>
          <w:bCs/>
        </w:rPr>
        <w:t>некоторые нормативные правовые акты Национального банка Кыргызской Республики</w:t>
      </w:r>
    </w:p>
    <w:p w:rsidR="00294D43" w:rsidRDefault="00294D4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1. Внести в </w:t>
      </w:r>
      <w:hyperlink r:id="rId13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"Об утверждении </w:t>
      </w:r>
      <w:hyperlink r:id="rId14" w:history="1">
        <w:r>
          <w:rPr>
            <w:rStyle w:val="a3"/>
            <w:rFonts w:ascii="Arial" w:hAnsi="Arial" w:cs="Arial"/>
          </w:rPr>
          <w:t>Порядка</w:t>
        </w:r>
      </w:hyperlink>
      <w:r>
        <w:rPr>
          <w:rFonts w:ascii="Arial" w:hAnsi="Arial" w:cs="Arial"/>
        </w:rPr>
        <w:t xml:space="preserve"> придания статуса неначисления процентного дохода" от 28 апреля 2004 года № 11/2 следующие изменения:</w:t>
      </w:r>
    </w:p>
    <w:p w:rsidR="00294D43" w:rsidRDefault="00294D4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</w:t>
      </w:r>
      <w:hyperlink r:id="rId15" w:history="1">
        <w:r>
          <w:rPr>
            <w:rStyle w:val="a3"/>
            <w:rFonts w:ascii="Arial" w:hAnsi="Arial" w:cs="Arial"/>
          </w:rPr>
          <w:t>Порядке</w:t>
        </w:r>
      </w:hyperlink>
      <w:r>
        <w:rPr>
          <w:rFonts w:ascii="Arial" w:hAnsi="Arial" w:cs="Arial"/>
        </w:rPr>
        <w:t xml:space="preserve"> придания статуса неначисления процентного дохода, утвержденном вышеуказанным </w:t>
      </w:r>
      <w:hyperlink r:id="rId16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</w:t>
      </w:r>
    </w:p>
    <w:p w:rsidR="00294D43" w:rsidRDefault="00294D4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1.1. дополнить абзацем вторым следующего содержания:</w:t>
      </w:r>
    </w:p>
    <w:p w:rsidR="00294D43" w:rsidRDefault="00294D4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"К кредитным организациям, осуществляющим операции по исламским принципам финансирования, в том числе через "исламское окно", действие настоящего Порядка распространяется в части начисления наценки/дохода по операциям мурабаха и иджара мунтахийя биттамлик с учетом специальной терминологии, применяемой ими при осуществлении банковских операций.";</w:t>
      </w:r>
    </w:p>
    <w:p w:rsidR="00294D43" w:rsidRDefault="00294D4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1.2. дополнить абзацем вторым следующего содержания:</w:t>
      </w:r>
    </w:p>
    <w:p w:rsidR="00294D43" w:rsidRDefault="00294D4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"Для кредитных организаций, осуществляющих операции по исламским принципам финансирования, в том числе через "исламское окно", под процентами понимается наценка/доход по операциям мурабаха и иджара мунтахийя биттамлик.".</w:t>
      </w:r>
    </w:p>
    <w:p w:rsidR="00294D43" w:rsidRDefault="00294D4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2. Внести в </w:t>
      </w:r>
      <w:hyperlink r:id="rId17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 следующие изменения:</w:t>
      </w:r>
    </w:p>
    <w:p w:rsidR="00294D43" w:rsidRDefault="00294D4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</w:t>
      </w:r>
      <w:hyperlink r:id="rId18" w:history="1">
        <w:r>
          <w:rPr>
            <w:rStyle w:val="a3"/>
            <w:rFonts w:ascii="Arial" w:hAnsi="Arial" w:cs="Arial"/>
          </w:rPr>
          <w:t>Положении</w:t>
        </w:r>
      </w:hyperlink>
      <w:r>
        <w:rPr>
          <w:rFonts w:ascii="Arial" w:hAnsi="Arial" w:cs="Arial"/>
        </w:rPr>
        <w:t xml:space="preserve"> "О Периодическом регулятивном банковском отчете", утвержденном вышеуказанным </w:t>
      </w:r>
      <w:hyperlink r:id="rId19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</w:t>
      </w:r>
    </w:p>
    <w:p w:rsidR="00294D43" w:rsidRDefault="00294D4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в подразделе "З. Отчет об операциях, проводимых банком в рамках "исламского окна" раздела 1 "Балансовый отчет" </w:t>
      </w:r>
      <w:hyperlink r:id="rId20" w:anchor="pr2" w:history="1">
        <w:r>
          <w:rPr>
            <w:rStyle w:val="a3"/>
            <w:rFonts w:ascii="Arial" w:hAnsi="Arial" w:cs="Arial"/>
          </w:rPr>
          <w:t>Приложения 2</w:t>
        </w:r>
      </w:hyperlink>
      <w:r>
        <w:rPr>
          <w:rFonts w:ascii="Arial" w:hAnsi="Arial" w:cs="Arial"/>
        </w:rPr>
        <w:t xml:space="preserve"> часть "Г. Расшифровка прочих активов и прочих обязательств" изложить в следующей редакции:</w:t>
      </w:r>
    </w:p>
    <w:p w:rsidR="00294D43" w:rsidRDefault="00294D43">
      <w:pPr>
        <w:spacing w:after="120" w:line="276" w:lineRule="auto"/>
        <w:jc w:val="both"/>
      </w:pPr>
      <w:r>
        <w:rPr>
          <w:rFonts w:ascii="Arial" w:hAnsi="Arial" w:cs="Arial"/>
        </w:rPr>
        <w:t>"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68"/>
        <w:gridCol w:w="1479"/>
        <w:gridCol w:w="1488"/>
      </w:tblGrid>
      <w:tr w:rsidR="00000000">
        <w:tc>
          <w:tcPr>
            <w:tcW w:w="34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rPr>
                <w:rFonts w:ascii="Arial" w:hAnsi="Arial" w:cs="Arial"/>
                <w:b/>
                <w:bCs/>
              </w:rPr>
              <w:t>Г. Расшифровка прочих активов и прочих обязательств</w:t>
            </w:r>
          </w:p>
        </w:tc>
        <w:tc>
          <w:tcPr>
            <w:tcW w:w="7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  <w:tc>
          <w:tcPr>
            <w:tcW w:w="7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3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rPr>
                <w:rFonts w:ascii="Arial" w:hAnsi="Arial" w:cs="Arial"/>
              </w:rPr>
              <w:t>1. Прочие активы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3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rPr>
                <w:rFonts w:ascii="Arial" w:hAnsi="Arial" w:cs="Arial"/>
              </w:rPr>
              <w:t>а) вознаграждение, начисленное к получению банком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3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rPr>
                <w:rFonts w:ascii="Arial" w:hAnsi="Arial" w:cs="Arial"/>
              </w:rPr>
              <w:t>б) наценка по мурабаха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3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rPr>
                <w:rFonts w:ascii="Arial" w:hAnsi="Arial" w:cs="Arial"/>
              </w:rPr>
              <w:t>в) предоплата выплаченная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3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rPr>
                <w:rFonts w:ascii="Arial" w:hAnsi="Arial" w:cs="Arial"/>
              </w:rPr>
              <w:t>г) невыясненные дебиторские суммы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3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rPr>
                <w:rFonts w:ascii="Arial" w:hAnsi="Arial" w:cs="Arial"/>
              </w:rPr>
              <w:t>д) драгоценные металлы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3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rPr>
                <w:rFonts w:ascii="Arial" w:hAnsi="Arial" w:cs="Arial"/>
              </w:rPr>
              <w:t>е) другие прочие активы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3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rPr>
                <w:rFonts w:ascii="Arial" w:hAnsi="Arial" w:cs="Arial"/>
              </w:rPr>
              <w:t>2. Специальный РППУ на прочие активы,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3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rPr>
                <w:rFonts w:ascii="Arial" w:hAnsi="Arial" w:cs="Arial"/>
              </w:rPr>
              <w:t>в том числе специальный РППУ по наценке по мурабаха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3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rPr>
                <w:rFonts w:ascii="Arial" w:hAnsi="Arial" w:cs="Arial"/>
              </w:rPr>
              <w:t>3. Чистые прочие активы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3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rPr>
                <w:rFonts w:ascii="Arial" w:hAnsi="Arial" w:cs="Arial"/>
              </w:rPr>
              <w:t xml:space="preserve">4. Прочие </w:t>
            </w:r>
            <w:r>
              <w:rPr>
                <w:rFonts w:ascii="Arial" w:hAnsi="Arial" w:cs="Arial"/>
              </w:rPr>
              <w:t>обязательства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3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rPr>
                <w:rFonts w:ascii="Arial" w:hAnsi="Arial" w:cs="Arial"/>
              </w:rPr>
              <w:t>а) вознаграждение, начисленное к выплате клиентам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3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rPr>
                <w:rFonts w:ascii="Arial" w:hAnsi="Arial" w:cs="Arial"/>
              </w:rPr>
              <w:t>б) отсроченная прибыль по мурабаха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3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rPr>
                <w:rFonts w:ascii="Arial" w:hAnsi="Arial" w:cs="Arial"/>
              </w:rPr>
              <w:t>в) налоги к выплате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3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rPr>
                <w:rFonts w:ascii="Arial" w:hAnsi="Arial" w:cs="Arial"/>
              </w:rPr>
              <w:t>г) невыясненная кредиторская задолженность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3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rPr>
                <w:rFonts w:ascii="Arial" w:hAnsi="Arial" w:cs="Arial"/>
              </w:rPr>
              <w:t>д) другие прочие обязательства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</w:tr>
    </w:tbl>
    <w:p w:rsidR="00294D43" w:rsidRDefault="00294D43">
      <w:pPr>
        <w:spacing w:before="120" w:after="60" w:line="276" w:lineRule="auto"/>
        <w:ind w:firstLine="567"/>
        <w:jc w:val="right"/>
      </w:pPr>
      <w:r>
        <w:rPr>
          <w:rFonts w:ascii="Arial" w:hAnsi="Arial" w:cs="Arial"/>
        </w:rPr>
        <w:t>".</w:t>
      </w:r>
    </w:p>
    <w:p w:rsidR="00294D43" w:rsidRDefault="00294D4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3. Внести в </w:t>
      </w:r>
      <w:hyperlink r:id="rId21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"Об утверждении </w:t>
      </w:r>
      <w:hyperlink r:id="rId22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"О периодическом регулятивном отчете банков, осуществляющих операции в соответствии с исламскими принципами банковского дела и финансирования" от 30 марта 2011 года № 20/4 следующие изменения:</w:t>
      </w:r>
    </w:p>
    <w:p w:rsidR="00294D43" w:rsidRDefault="00294D4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</w:t>
      </w:r>
      <w:hyperlink r:id="rId23" w:history="1">
        <w:r>
          <w:rPr>
            <w:rStyle w:val="a3"/>
            <w:rFonts w:ascii="Arial" w:hAnsi="Arial" w:cs="Arial"/>
          </w:rPr>
          <w:t>Положении</w:t>
        </w:r>
      </w:hyperlink>
      <w:r>
        <w:rPr>
          <w:rFonts w:ascii="Arial" w:hAnsi="Arial" w:cs="Arial"/>
        </w:rPr>
        <w:t xml:space="preserve"> "О периодическом регулятивном отчете банков, осуществляющих операции в соответствии с исламскими принципами банковского дела и финансирования", утвержденном вышеуказанным </w:t>
      </w:r>
      <w:hyperlink r:id="rId24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</w:t>
      </w:r>
    </w:p>
    <w:p w:rsidR="00294D43" w:rsidRDefault="00294D4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подраздел Д. "Расшифровка прочих активов и прочих обязательств банка" раздела 1.А. "Балансовый отчет" Приложения 2 изложить в следующей редакции:</w:t>
      </w:r>
    </w:p>
    <w:p w:rsidR="00294D43" w:rsidRDefault="00294D4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"Д. Расшифровка прочих активов и прочих обязательств банка</w:t>
      </w:r>
    </w:p>
    <w:p w:rsidR="00294D43" w:rsidRDefault="00294D43">
      <w:pPr>
        <w:spacing w:after="60" w:line="276" w:lineRule="auto"/>
        <w:ind w:firstLine="567"/>
        <w:jc w:val="both"/>
      </w:pPr>
      <w:r>
        <w:t> </w:t>
      </w:r>
    </w:p>
    <w:p w:rsidR="00294D43" w:rsidRDefault="00294D43">
      <w:pPr>
        <w:spacing w:after="60" w:line="276" w:lineRule="auto"/>
        <w:ind w:firstLine="567"/>
        <w:jc w:val="right"/>
      </w:pPr>
      <w:r>
        <w:rPr>
          <w:rFonts w:ascii="Arial" w:hAnsi="Arial" w:cs="Arial"/>
        </w:rPr>
        <w:t>(тыс. сом)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29"/>
        <w:gridCol w:w="986"/>
        <w:gridCol w:w="1520"/>
      </w:tblGrid>
      <w:tr w:rsidR="00000000">
        <w:tc>
          <w:tcPr>
            <w:tcW w:w="36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</w:rPr>
              <w:t>Наименование статьи</w:t>
            </w:r>
          </w:p>
        </w:tc>
        <w:tc>
          <w:tcPr>
            <w:tcW w:w="5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</w:rPr>
              <w:t>Всего</w:t>
            </w:r>
          </w:p>
        </w:tc>
        <w:tc>
          <w:tcPr>
            <w:tcW w:w="8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</w:rPr>
              <w:t>Инвалюта</w:t>
            </w:r>
          </w:p>
        </w:tc>
      </w:tr>
      <w:tr w:rsidR="00000000">
        <w:tc>
          <w:tcPr>
            <w:tcW w:w="36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rPr>
                <w:rFonts w:ascii="Arial" w:hAnsi="Arial" w:cs="Arial"/>
              </w:rPr>
              <w:t>1. Прочие активы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36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rPr>
                <w:rFonts w:ascii="Arial" w:hAnsi="Arial" w:cs="Arial"/>
              </w:rPr>
              <w:t>а) вознаграждение, начисленное к получению банком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36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rPr>
                <w:rFonts w:ascii="Arial" w:hAnsi="Arial" w:cs="Arial"/>
              </w:rPr>
              <w:t>б) наценка по мурабаха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36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rPr>
                <w:rFonts w:ascii="Arial" w:hAnsi="Arial" w:cs="Arial"/>
              </w:rPr>
              <w:t>в) предоплата выплаченная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36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rPr>
                <w:rFonts w:ascii="Arial" w:hAnsi="Arial" w:cs="Arial"/>
              </w:rPr>
              <w:t>г) невыясненные дебиторские суммы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36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rPr>
                <w:rFonts w:ascii="Arial" w:hAnsi="Arial" w:cs="Arial"/>
              </w:rPr>
              <w:t>д) драгоценные металлы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36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rPr>
                <w:rFonts w:ascii="Arial" w:hAnsi="Arial" w:cs="Arial"/>
              </w:rPr>
              <w:t>е) другие прочие активы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36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rPr>
                <w:rFonts w:ascii="Arial" w:hAnsi="Arial" w:cs="Arial"/>
              </w:rPr>
              <w:t>2. Специальный РППУ на прочие активы,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36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rPr>
                <w:rFonts w:ascii="Arial" w:hAnsi="Arial" w:cs="Arial"/>
              </w:rPr>
              <w:t>в том числе специальный РППУ по наценке по мурабаха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36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rPr>
                <w:rFonts w:ascii="Arial" w:hAnsi="Arial" w:cs="Arial"/>
              </w:rPr>
              <w:t>3. Чистые прочие активы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36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rPr>
                <w:rFonts w:ascii="Arial" w:hAnsi="Arial" w:cs="Arial"/>
              </w:rPr>
              <w:t>4. Прочие обязательства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36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rPr>
                <w:rFonts w:ascii="Arial" w:hAnsi="Arial" w:cs="Arial"/>
              </w:rPr>
              <w:t>а) вознаграждение, начисленное к выплате клиентам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36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rPr>
                <w:rFonts w:ascii="Arial" w:hAnsi="Arial" w:cs="Arial"/>
              </w:rPr>
              <w:t>б) отсроченная прибыль по мурабаха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36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rPr>
                <w:rFonts w:ascii="Arial" w:hAnsi="Arial" w:cs="Arial"/>
              </w:rPr>
              <w:t>в) налоги к выплате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36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rPr>
                <w:rFonts w:ascii="Arial" w:hAnsi="Arial" w:cs="Arial"/>
              </w:rPr>
              <w:t>г) невыясненная кредиторская задолженность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36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rPr>
                <w:rFonts w:ascii="Arial" w:hAnsi="Arial" w:cs="Arial"/>
              </w:rPr>
              <w:t>д) дивиденды к выплате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36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rPr>
                <w:rFonts w:ascii="Arial" w:hAnsi="Arial" w:cs="Arial"/>
              </w:rPr>
              <w:t>е) другие прочие обязательства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43" w:rsidRDefault="00294D43">
            <w:pPr>
              <w:spacing w:after="60"/>
            </w:pPr>
            <w:r>
              <w:t> </w:t>
            </w:r>
          </w:p>
        </w:tc>
      </w:tr>
    </w:tbl>
    <w:p w:rsidR="00294D43" w:rsidRDefault="00294D43">
      <w:pPr>
        <w:spacing w:before="120" w:after="60" w:line="276" w:lineRule="auto"/>
        <w:ind w:firstLine="567"/>
        <w:jc w:val="right"/>
      </w:pPr>
      <w:r>
        <w:rPr>
          <w:rFonts w:ascii="Arial" w:hAnsi="Arial" w:cs="Arial"/>
        </w:rPr>
        <w:t>".</w:t>
      </w:r>
    </w:p>
    <w:p w:rsidR="00294D43" w:rsidRDefault="00294D43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D43"/>
    <w:rsid w:val="00294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/>
      <w:jc w:val="center"/>
    </w:pPr>
    <w:rPr>
      <w:rFonts w:ascii="Arial" w:hAnsi="Arial" w:cs="Arial"/>
      <w:b/>
      <w:bCs/>
    </w:rPr>
  </w:style>
  <w:style w:type="paragraph" w:customStyle="1" w:styleId="tkRekvizit">
    <w:name w:val="_Реквизит (tkRekvizit)"/>
    <w:basedOn w:val="a"/>
    <w:pPr>
      <w:spacing w:before="200" w:after="200" w:line="276" w:lineRule="auto"/>
      <w:jc w:val="center"/>
    </w:pPr>
    <w:rPr>
      <w:rFonts w:ascii="Arial" w:hAnsi="Arial" w:cs="Arial"/>
      <w:i/>
      <w:iCs/>
      <w:sz w:val="20"/>
      <w:szCs w:val="20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  <w:jc w:val="both"/>
    </w:pPr>
    <w:rPr>
      <w:rFonts w:ascii="Arial" w:hAnsi="Arial" w:cs="Arial"/>
      <w:sz w:val="20"/>
      <w:szCs w:val="2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1355" TargetMode="External"/><Relationship Id="rId13" Type="http://schemas.openxmlformats.org/officeDocument/2006/relationships/hyperlink" Target="https://cbd.minjust.gov.kg/31354" TargetMode="External"/><Relationship Id="rId18" Type="http://schemas.openxmlformats.org/officeDocument/2006/relationships/hyperlink" Target="https://cbd.minjust.gov.kg/300274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cbd.minjust.gov.kg/302407" TargetMode="External"/><Relationship Id="rId7" Type="http://schemas.openxmlformats.org/officeDocument/2006/relationships/hyperlink" Target="https://cbd.minjust.gov.kg/800821" TargetMode="External"/><Relationship Id="rId12" Type="http://schemas.openxmlformats.org/officeDocument/2006/relationships/hyperlink" Target="https://cbd.minjust.gov.kg/302407" TargetMode="External"/><Relationship Id="rId17" Type="http://schemas.openxmlformats.org/officeDocument/2006/relationships/hyperlink" Target="https://cbd.minjust.gov.kg/300273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1354" TargetMode="External"/><Relationship Id="rId20" Type="http://schemas.openxmlformats.org/officeDocument/2006/relationships/hyperlink" Target="https://cbd.minjust.gov.kg/300274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111486" TargetMode="External"/><Relationship Id="rId11" Type="http://schemas.openxmlformats.org/officeDocument/2006/relationships/hyperlink" Target="https://cbd.minjust.gov.kg/302408" TargetMode="External"/><Relationship Id="rId24" Type="http://schemas.openxmlformats.org/officeDocument/2006/relationships/hyperlink" Target="https://cbd.minjust.gov.kg/302407" TargetMode="External"/><Relationship Id="rId5" Type="http://schemas.openxmlformats.org/officeDocument/2006/relationships/hyperlink" Target="https://cbd.minjust.gov.kg/111486" TargetMode="External"/><Relationship Id="rId15" Type="http://schemas.openxmlformats.org/officeDocument/2006/relationships/hyperlink" Target="https://cbd.minjust.gov.kg/31355" TargetMode="External"/><Relationship Id="rId23" Type="http://schemas.openxmlformats.org/officeDocument/2006/relationships/hyperlink" Target="https://cbd.minjust.gov.kg/302408" TargetMode="External"/><Relationship Id="rId10" Type="http://schemas.openxmlformats.org/officeDocument/2006/relationships/hyperlink" Target="https://cbd.minjust.gov.kg/300273" TargetMode="External"/><Relationship Id="rId19" Type="http://schemas.openxmlformats.org/officeDocument/2006/relationships/hyperlink" Target="https://cbd.minjust.gov.kg/300273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1354" TargetMode="External"/><Relationship Id="rId14" Type="http://schemas.openxmlformats.org/officeDocument/2006/relationships/hyperlink" Target="https://cbd.minjust.gov.kg/31355" TargetMode="External"/><Relationship Id="rId22" Type="http://schemas.openxmlformats.org/officeDocument/2006/relationships/hyperlink" Target="https://cbd.minjust.gov.kg/3024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997</Words>
  <Characters>5687</Characters>
  <Application>Microsoft Office Word</Application>
  <DocSecurity>0</DocSecurity>
  <Lines>47</Lines>
  <Paragraphs>13</Paragraphs>
  <ScaleCrop>false</ScaleCrop>
  <Company/>
  <LinksUpToDate>false</LinksUpToDate>
  <CharactersWithSpaces>6671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2023-12-15T21:37:00Z</dcterms:created>
  <dcterms:modified xsi:type="dcterms:W3CDTF">2023-12-15T21:37:00Z</dcterms:modified>
</cp:coreProperties>
</file>