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96D46" w14:textId="77777777" w:rsidR="007619EB" w:rsidRDefault="007619EB">
      <w:pPr>
        <w:spacing w:after="480"/>
        <w:jc w:val="center"/>
      </w:pPr>
      <w:r>
        <w:rPr>
          <w:rFonts w:ascii="Arial" w:hAnsi="Arial" w:cs="Arial"/>
          <w:b/>
          <w:bCs/>
          <w:noProof/>
          <w:sz w:val="32"/>
          <w:szCs w:val="32"/>
        </w:rPr>
        <w:drawing>
          <wp:inline distT="0" distB="0" distL="0" distR="0" wp14:anchorId="0B23468A" wp14:editId="6355C7D0">
            <wp:extent cx="1152525" cy="1152525"/>
            <wp:effectExtent l="0" t="0" r="9525" b="9525"/>
            <wp:docPr id="1" name="Рисунок 1" descr="Описание: Описание: Описание: Описание: Описание: Описание: Описание: Описание: Описание: Описание: Описание: Описание: Описание: Описание: Описание: Описание: C:\Users\CBD\AppData\Local\Temp\CdbDocEditor\7e06e9e0-87d5-4e01-b0db-272feb251bf6\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Описание: Описание: Описание: Описание: Описание: Описание: Описание: Описание: C:\Users\CBD\AppData\Local\Temp\CdbDocEditor\7e06e9e0-87d5-4e01-b0db-272feb251bf6\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7DD1C854" w14:textId="77777777" w:rsidR="007619EB" w:rsidRDefault="007619EB">
      <w:pPr>
        <w:spacing w:after="480"/>
        <w:jc w:val="center"/>
      </w:pPr>
      <w:r>
        <w:rPr>
          <w:rFonts w:ascii="Arial" w:hAnsi="Arial" w:cs="Arial"/>
          <w:b/>
          <w:bCs/>
          <w:spacing w:val="5"/>
          <w:sz w:val="32"/>
          <w:szCs w:val="32"/>
        </w:rPr>
        <w:t>ПОСТАНОВЛЕНИЕ ПРАВЛЕНИЯ НАЦИОНАЛЬНОГО БАНКА КЫРГЫЗСКОЙ РЕСПУБЛИКИ</w:t>
      </w:r>
    </w:p>
    <w:p w14:paraId="73FF3DAB" w14:textId="77777777" w:rsidR="007619EB" w:rsidRDefault="007619EB">
      <w:r>
        <w:rPr>
          <w:rFonts w:ascii="Arial" w:hAnsi="Arial" w:cs="Arial"/>
        </w:rPr>
        <w:t>от 19 мая 2021 года № 2021-П-12/25-3-(НПА)</w:t>
      </w:r>
    </w:p>
    <w:p w14:paraId="21EDAC67" w14:textId="77777777" w:rsidR="007619EB" w:rsidRDefault="007619EB">
      <w:r>
        <w:t> </w:t>
      </w:r>
    </w:p>
    <w:p w14:paraId="35FBB8D2" w14:textId="77777777" w:rsidR="007619EB" w:rsidRDefault="007619EB">
      <w:pPr>
        <w:jc w:val="center"/>
      </w:pPr>
      <w:r>
        <w:rPr>
          <w:rFonts w:ascii="Arial" w:hAnsi="Arial" w:cs="Arial"/>
          <w:b/>
          <w:bCs/>
          <w:spacing w:val="5"/>
          <w:sz w:val="28"/>
          <w:szCs w:val="28"/>
        </w:rPr>
        <w:t>О внесении изменений в некоторые нормативные правовые акты Национального банка Кыргызской Республики</w:t>
      </w:r>
    </w:p>
    <w:p w14:paraId="14EE1C1F" w14:textId="77777777" w:rsidR="007619EB" w:rsidRDefault="007619EB">
      <w:pPr>
        <w:ind w:firstLine="567"/>
        <w:jc w:val="center"/>
      </w:pPr>
      <w:r>
        <w:t> </w:t>
      </w:r>
    </w:p>
    <w:p w14:paraId="0DB97DD9" w14:textId="77777777" w:rsidR="007619EB" w:rsidRDefault="007619EB">
      <w:pPr>
        <w:ind w:firstLine="567"/>
        <w:jc w:val="center"/>
      </w:pPr>
      <w:r>
        <w:rPr>
          <w:rFonts w:ascii="Arial" w:hAnsi="Arial" w:cs="Arial"/>
          <w:i/>
          <w:iCs/>
        </w:rPr>
        <w:t xml:space="preserve">(В редакции постановления Правления Нацбанка КР от </w:t>
      </w:r>
      <w:hyperlink r:id="rId5" w:history="1">
        <w:r>
          <w:rPr>
            <w:rStyle w:val="a3"/>
            <w:rFonts w:ascii="Arial" w:hAnsi="Arial" w:cs="Arial"/>
            <w:i/>
            <w:iCs/>
          </w:rPr>
          <w:t>28 сентября 2022 года № 2022-П-12/60-2</w:t>
        </w:r>
      </w:hyperlink>
      <w:r>
        <w:rPr>
          <w:rFonts w:ascii="Arial" w:hAnsi="Arial" w:cs="Arial"/>
          <w:i/>
          <w:iCs/>
        </w:rPr>
        <w:t>)</w:t>
      </w:r>
    </w:p>
    <w:p w14:paraId="201DA43B" w14:textId="77777777" w:rsidR="007619EB" w:rsidRDefault="007619EB">
      <w:pPr>
        <w:pStyle w:val="tkRedakcijaSpisok"/>
      </w:pPr>
      <w:r>
        <w:t> </w:t>
      </w:r>
    </w:p>
    <w:p w14:paraId="2C324054" w14:textId="77777777" w:rsidR="007619EB" w:rsidRDefault="007619EB">
      <w:pPr>
        <w:ind w:firstLine="397"/>
        <w:jc w:val="both"/>
      </w:pPr>
      <w:r>
        <w:rPr>
          <w:rFonts w:ascii="Arial" w:hAnsi="Arial" w:cs="Arial"/>
        </w:rPr>
        <w:t xml:space="preserve">В соответствии со статьями </w:t>
      </w:r>
      <w:hyperlink r:id="rId6" w:anchor="st_20" w:history="1">
        <w:r>
          <w:rPr>
            <w:rStyle w:val="a3"/>
            <w:rFonts w:ascii="Arial" w:hAnsi="Arial" w:cs="Arial"/>
          </w:rPr>
          <w:t>20</w:t>
        </w:r>
      </w:hyperlink>
      <w:r>
        <w:rPr>
          <w:rFonts w:ascii="Arial" w:hAnsi="Arial" w:cs="Arial"/>
        </w:rPr>
        <w:t xml:space="preserve"> и </w:t>
      </w:r>
      <w:hyperlink r:id="rId7" w:anchor="st_68" w:history="1">
        <w:r>
          <w:rPr>
            <w:rStyle w:val="a3"/>
            <w:rFonts w:ascii="Arial" w:hAnsi="Arial" w:cs="Arial"/>
          </w:rPr>
          <w:t>68</w:t>
        </w:r>
      </w:hyperlink>
      <w:r>
        <w:rPr>
          <w:rFonts w:ascii="Arial" w:hAnsi="Arial" w:cs="Arial"/>
        </w:rPr>
        <w:t xml:space="preserve"> Закона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14:paraId="1EDAA8A4" w14:textId="77777777" w:rsidR="007619EB" w:rsidRDefault="007619EB">
      <w:pPr>
        <w:ind w:firstLine="397"/>
        <w:jc w:val="both"/>
      </w:pPr>
      <w:r>
        <w:rPr>
          <w:rFonts w:ascii="Arial" w:hAnsi="Arial" w:cs="Arial"/>
        </w:rPr>
        <w:t xml:space="preserve">1. Внести </w:t>
      </w:r>
      <w:hyperlink r:id="rId8" w:anchor="pr" w:history="1">
        <w:r>
          <w:rPr>
            <w:rStyle w:val="a3"/>
            <w:rFonts w:ascii="Arial" w:hAnsi="Arial" w:cs="Arial"/>
          </w:rPr>
          <w:t>изменения</w:t>
        </w:r>
      </w:hyperlink>
      <w:r>
        <w:rPr>
          <w:rFonts w:ascii="Arial" w:hAnsi="Arial" w:cs="Arial"/>
        </w:rPr>
        <w:t xml:space="preserve"> в следующие постановления Правления Национального банка Кыргызской Республики (прилагаются):</w:t>
      </w:r>
    </w:p>
    <w:p w14:paraId="4584520D" w14:textId="77777777" w:rsidR="007619EB" w:rsidRDefault="007619EB">
      <w:pPr>
        <w:ind w:firstLine="397"/>
        <w:jc w:val="both"/>
      </w:pPr>
      <w:r>
        <w:rPr>
          <w:rFonts w:ascii="Arial" w:hAnsi="Arial" w:cs="Arial"/>
        </w:rPr>
        <w:t xml:space="preserve">- Об утверждении </w:t>
      </w:r>
      <w:hyperlink r:id="rId9" w:history="1">
        <w:r>
          <w:rPr>
            <w:rStyle w:val="a3"/>
            <w:rFonts w:ascii="Arial" w:hAnsi="Arial" w:cs="Arial"/>
          </w:rPr>
          <w:t>Положения</w:t>
        </w:r>
      </w:hyperlink>
      <w:r>
        <w:rPr>
          <w:rFonts w:ascii="Arial" w:hAnsi="Arial" w:cs="Arial"/>
        </w:rPr>
        <w:t xml:space="preserve"> "О классификации активов и соответствующих отчислениях в резерв на покрытие потенциальных потерь и убытков" </w:t>
      </w:r>
      <w:hyperlink r:id="rId10" w:history="1">
        <w:r>
          <w:rPr>
            <w:rStyle w:val="a3"/>
            <w:rFonts w:ascii="Arial" w:hAnsi="Arial" w:cs="Arial"/>
          </w:rPr>
          <w:t>от 21 июля 2004 года № 18/3</w:t>
        </w:r>
      </w:hyperlink>
      <w:r>
        <w:rPr>
          <w:rFonts w:ascii="Arial" w:hAnsi="Arial" w:cs="Arial"/>
        </w:rPr>
        <w:t>;</w:t>
      </w:r>
    </w:p>
    <w:p w14:paraId="004C9897" w14:textId="77777777" w:rsidR="007619EB" w:rsidRDefault="007619EB">
      <w:pPr>
        <w:ind w:firstLine="397"/>
        <w:jc w:val="both"/>
      </w:pPr>
      <w:r>
        <w:rPr>
          <w:rFonts w:ascii="Arial" w:hAnsi="Arial" w:cs="Arial"/>
          <w:i/>
          <w:iCs/>
        </w:rPr>
        <w:t xml:space="preserve">- (абзац утратил силу в соответствии с постановлением Правления Нацбанка КР от </w:t>
      </w:r>
      <w:hyperlink r:id="rId11" w:history="1">
        <w:r>
          <w:rPr>
            <w:rStyle w:val="a3"/>
            <w:rFonts w:ascii="Arial" w:hAnsi="Arial" w:cs="Arial"/>
            <w:i/>
            <w:iCs/>
          </w:rPr>
          <w:t>28 сентября 2022 года № 2022-П-12/60-2</w:t>
        </w:r>
      </w:hyperlink>
      <w:r>
        <w:rPr>
          <w:rFonts w:ascii="Arial" w:hAnsi="Arial" w:cs="Arial"/>
          <w:i/>
          <w:iCs/>
        </w:rPr>
        <w:t>)</w:t>
      </w:r>
    </w:p>
    <w:p w14:paraId="1586807F" w14:textId="77777777" w:rsidR="007619EB" w:rsidRDefault="007619EB">
      <w:pPr>
        <w:ind w:firstLine="397"/>
        <w:jc w:val="both"/>
      </w:pPr>
      <w:r>
        <w:rPr>
          <w:rFonts w:ascii="Arial" w:hAnsi="Arial" w:cs="Arial"/>
        </w:rPr>
        <w:t>2. Настоящее постановление вступает в силу со дня официального опубликования.</w:t>
      </w:r>
    </w:p>
    <w:p w14:paraId="63FC3EFC" w14:textId="77777777" w:rsidR="007619EB" w:rsidRDefault="007619EB">
      <w:pPr>
        <w:ind w:firstLine="397"/>
        <w:jc w:val="both"/>
      </w:pPr>
      <w:r>
        <w:rPr>
          <w:rFonts w:ascii="Arial" w:hAnsi="Arial" w:cs="Arial"/>
        </w:rPr>
        <w:t>3. Юридическому управлению:</w:t>
      </w:r>
    </w:p>
    <w:p w14:paraId="5F093041" w14:textId="77777777" w:rsidR="007619EB" w:rsidRDefault="007619EB">
      <w:pPr>
        <w:ind w:firstLine="397"/>
        <w:jc w:val="both"/>
      </w:pPr>
      <w:r>
        <w:rPr>
          <w:rFonts w:ascii="Arial" w:hAnsi="Arial" w:cs="Arial"/>
        </w:rPr>
        <w:t xml:space="preserve">- опубликовать настоящее постановление </w:t>
      </w:r>
      <w:r>
        <w:rPr>
          <w:rFonts w:ascii="Arial" w:hAnsi="Arial" w:cs="Arial"/>
        </w:rPr>
        <w:t>на официальном интернет-сайте Национального банка Кыргызской Республики;</w:t>
      </w:r>
    </w:p>
    <w:p w14:paraId="7E8D1071" w14:textId="77777777" w:rsidR="007619EB" w:rsidRDefault="007619EB">
      <w:pPr>
        <w:ind w:firstLine="397"/>
        <w:jc w:val="both"/>
      </w:pPr>
      <w:r>
        <w:rPr>
          <w:rFonts w:ascii="Arial" w:hAnsi="Arial" w:cs="Arial"/>
        </w:rPr>
        <w:t>-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14:paraId="04BCAF4C" w14:textId="77777777" w:rsidR="007619EB" w:rsidRDefault="007619EB">
      <w:pPr>
        <w:ind w:firstLine="397"/>
        <w:jc w:val="both"/>
      </w:pPr>
      <w:r>
        <w:rPr>
          <w:rFonts w:ascii="Arial" w:hAnsi="Arial" w:cs="Arial"/>
        </w:rPr>
        <w:t>4. Управлению методологии надзора и лицензирования банков довести настоящее постановление до сведения ОЮЛ "Союз банков Кыргызстана", коммерческих банков, Государственного банка развития Кыргызской Республики, ОЮЛ "Ассоциация микрофинансовых организаций", микрофинансовых компаний, привлекающих срочные депозиты, ОАО "Финансовая компания кредитных союзов", ОАО "Гарантийный фонд", соответствующих структурных подразделений, областных управлений и представительства Национального банка в Баткенской области.</w:t>
      </w:r>
    </w:p>
    <w:p w14:paraId="559DADFB" w14:textId="77777777" w:rsidR="007619EB" w:rsidRDefault="007619EB">
      <w:pPr>
        <w:ind w:firstLine="397"/>
        <w:jc w:val="both"/>
      </w:pPr>
      <w:r>
        <w:rPr>
          <w:rFonts w:ascii="Arial" w:hAnsi="Arial" w:cs="Arial"/>
        </w:rPr>
        <w:t>5. Контроль за исполнением настоящего постановления возложить на члена Правления, курирующего управление методологии надзора и лицензирования банков.</w:t>
      </w:r>
    </w:p>
    <w:p w14:paraId="1D2858F1" w14:textId="77777777" w:rsidR="007619EB" w:rsidRDefault="007619EB">
      <w:pPr>
        <w:spacing w:after="120"/>
        <w:jc w:val="both"/>
      </w:pPr>
      <w:r>
        <w:t> </w:t>
      </w:r>
    </w:p>
    <w:tbl>
      <w:tblPr>
        <w:tblW w:w="5000" w:type="pct"/>
        <w:tblCellMar>
          <w:left w:w="0" w:type="dxa"/>
          <w:right w:w="0" w:type="dxa"/>
        </w:tblCellMar>
        <w:tblLook w:val="04A0" w:firstRow="1" w:lastRow="0" w:firstColumn="1" w:lastColumn="0" w:noHBand="0" w:noVBand="1"/>
      </w:tblPr>
      <w:tblGrid>
        <w:gridCol w:w="4677"/>
        <w:gridCol w:w="4678"/>
      </w:tblGrid>
      <w:tr w:rsidR="00000000" w14:paraId="2BE6C3D9" w14:textId="77777777">
        <w:tc>
          <w:tcPr>
            <w:tcW w:w="2500" w:type="pct"/>
            <w:tcMar>
              <w:top w:w="0" w:type="dxa"/>
              <w:left w:w="108" w:type="dxa"/>
              <w:bottom w:w="0" w:type="dxa"/>
              <w:right w:w="108" w:type="dxa"/>
            </w:tcMar>
            <w:hideMark/>
          </w:tcPr>
          <w:p w14:paraId="2FE8D877" w14:textId="77777777" w:rsidR="007619EB" w:rsidRDefault="007619EB">
            <w:pPr>
              <w:spacing w:after="60" w:line="276" w:lineRule="auto"/>
              <w:jc w:val="both"/>
            </w:pPr>
            <w:r>
              <w:rPr>
                <w:rFonts w:ascii="Arial" w:hAnsi="Arial" w:cs="Arial"/>
                <w:b/>
                <w:bCs/>
              </w:rPr>
              <w:t>Председатель</w:t>
            </w:r>
          </w:p>
        </w:tc>
        <w:tc>
          <w:tcPr>
            <w:tcW w:w="2500" w:type="pct"/>
            <w:tcMar>
              <w:top w:w="0" w:type="dxa"/>
              <w:left w:w="108" w:type="dxa"/>
              <w:bottom w:w="0" w:type="dxa"/>
              <w:right w:w="108" w:type="dxa"/>
            </w:tcMar>
            <w:hideMark/>
          </w:tcPr>
          <w:p w14:paraId="12C50894" w14:textId="77777777" w:rsidR="007619EB" w:rsidRDefault="007619EB">
            <w:pPr>
              <w:spacing w:after="60" w:line="276" w:lineRule="auto"/>
              <w:jc w:val="right"/>
            </w:pPr>
            <w:r>
              <w:rPr>
                <w:rFonts w:ascii="Arial" w:hAnsi="Arial" w:cs="Arial"/>
                <w:b/>
                <w:bCs/>
              </w:rPr>
              <w:t>Т.Абдыгулов</w:t>
            </w:r>
          </w:p>
        </w:tc>
      </w:tr>
    </w:tbl>
    <w:p w14:paraId="4EF42A82" w14:textId="77777777" w:rsidR="007619EB" w:rsidRDefault="007619EB">
      <w:pPr>
        <w:spacing w:after="120"/>
        <w:ind w:firstLine="397"/>
        <w:jc w:val="both"/>
      </w:pPr>
      <w:r>
        <w:t> </w:t>
      </w:r>
    </w:p>
    <w:p w14:paraId="080F8C6E" w14:textId="77777777" w:rsidR="007619EB" w:rsidRDefault="007619EB">
      <w:pPr>
        <w:spacing w:before="400" w:after="400" w:line="276" w:lineRule="auto"/>
        <w:ind w:left="1134" w:right="1134"/>
        <w:jc w:val="center"/>
      </w:pPr>
      <w:bookmarkStart w:id="0" w:name="pr"/>
      <w:bookmarkEnd w:id="0"/>
      <w:r>
        <w:rPr>
          <w:rFonts w:ascii="Arial" w:hAnsi="Arial" w:cs="Arial"/>
          <w:b/>
          <w:bCs/>
        </w:rPr>
        <w:t>ИЗМЕНЕНИЯ</w:t>
      </w:r>
      <w:r>
        <w:rPr>
          <w:rFonts w:ascii="Arial" w:hAnsi="Arial" w:cs="Arial"/>
          <w:b/>
          <w:bCs/>
        </w:rPr>
        <w:br/>
        <w:t xml:space="preserve">в некоторые нормативные </w:t>
      </w:r>
      <w:r>
        <w:rPr>
          <w:rFonts w:ascii="Arial" w:hAnsi="Arial" w:cs="Arial"/>
          <w:b/>
          <w:bCs/>
        </w:rPr>
        <w:t>правовые акты Национального банка Кыргызской Республики</w:t>
      </w:r>
    </w:p>
    <w:p w14:paraId="578B0B36" w14:textId="77777777" w:rsidR="007619EB" w:rsidRDefault="007619EB">
      <w:pPr>
        <w:ind w:firstLine="567"/>
        <w:jc w:val="center"/>
      </w:pPr>
      <w:r>
        <w:rPr>
          <w:rFonts w:ascii="Arial" w:hAnsi="Arial" w:cs="Arial"/>
          <w:i/>
          <w:iCs/>
        </w:rPr>
        <w:t xml:space="preserve">(В редакции постановления Правления Нацбанка КР от </w:t>
      </w:r>
      <w:hyperlink r:id="rId12" w:history="1">
        <w:r>
          <w:rPr>
            <w:rStyle w:val="a3"/>
            <w:rFonts w:ascii="Arial" w:hAnsi="Arial" w:cs="Arial"/>
            <w:i/>
            <w:iCs/>
          </w:rPr>
          <w:t>28 сентября 2022 года № 2022-П-12/60-2</w:t>
        </w:r>
      </w:hyperlink>
      <w:r>
        <w:rPr>
          <w:rFonts w:ascii="Arial" w:hAnsi="Arial" w:cs="Arial"/>
          <w:i/>
          <w:iCs/>
        </w:rPr>
        <w:t>)</w:t>
      </w:r>
    </w:p>
    <w:p w14:paraId="0C39F9C0" w14:textId="77777777" w:rsidR="007619EB" w:rsidRDefault="007619EB">
      <w:pPr>
        <w:ind w:firstLine="567"/>
        <w:jc w:val="center"/>
      </w:pPr>
      <w:r>
        <w:rPr>
          <w:rFonts w:ascii="Arial" w:hAnsi="Arial" w:cs="Arial"/>
          <w:i/>
          <w:iCs/>
        </w:rPr>
        <w:t> </w:t>
      </w:r>
    </w:p>
    <w:p w14:paraId="272EFA24" w14:textId="77777777" w:rsidR="007619EB" w:rsidRDefault="007619EB">
      <w:pPr>
        <w:ind w:firstLine="567"/>
        <w:jc w:val="both"/>
      </w:pPr>
      <w:r>
        <w:rPr>
          <w:rFonts w:ascii="Arial" w:hAnsi="Arial" w:cs="Arial"/>
        </w:rPr>
        <w:t xml:space="preserve">1. Внести в </w:t>
      </w:r>
      <w:hyperlink r:id="rId13"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14" w:history="1">
        <w:r>
          <w:rPr>
            <w:rStyle w:val="a3"/>
            <w:rFonts w:ascii="Arial" w:hAnsi="Arial" w:cs="Arial"/>
          </w:rPr>
          <w:t>Положения</w:t>
        </w:r>
      </w:hyperlink>
      <w:r>
        <w:rPr>
          <w:rFonts w:ascii="Arial" w:hAnsi="Arial" w:cs="Arial"/>
        </w:rPr>
        <w:t xml:space="preserve"> "О </w:t>
      </w:r>
      <w:r>
        <w:rPr>
          <w:rFonts w:ascii="Arial" w:hAnsi="Arial" w:cs="Arial"/>
        </w:rPr>
        <w:t>классификации активов и соответствующих отчислениях в резерв на покрытие потенциальных потерь и убытков" от 21 июля 2004 года № 18/3 следующие изменения:</w:t>
      </w:r>
    </w:p>
    <w:p w14:paraId="503F042E" w14:textId="77777777" w:rsidR="007619EB" w:rsidRDefault="007619EB">
      <w:pPr>
        <w:ind w:firstLine="567"/>
        <w:jc w:val="both"/>
      </w:pPr>
      <w:r>
        <w:rPr>
          <w:rFonts w:ascii="Arial" w:hAnsi="Arial" w:cs="Arial"/>
        </w:rPr>
        <w:t xml:space="preserve">в </w:t>
      </w:r>
      <w:hyperlink r:id="rId15" w:history="1">
        <w:r>
          <w:rPr>
            <w:rStyle w:val="a3"/>
            <w:rFonts w:ascii="Arial" w:hAnsi="Arial" w:cs="Arial"/>
          </w:rPr>
          <w:t>Положении</w:t>
        </w:r>
      </w:hyperlink>
      <w:r>
        <w:rPr>
          <w:rFonts w:ascii="Arial" w:hAnsi="Arial" w:cs="Arial"/>
        </w:rPr>
        <w:t xml:space="preserve"> "О классификации активов и соответствующих отчислениях в резерв на покрытие потенциальных потерь и убытков", утвержденном вышеуказанным </w:t>
      </w:r>
      <w:hyperlink r:id="rId16" w:history="1">
        <w:r>
          <w:rPr>
            <w:rStyle w:val="a3"/>
            <w:rFonts w:ascii="Arial" w:hAnsi="Arial" w:cs="Arial"/>
          </w:rPr>
          <w:t>постановлением</w:t>
        </w:r>
      </w:hyperlink>
      <w:r>
        <w:rPr>
          <w:rFonts w:ascii="Arial" w:hAnsi="Arial" w:cs="Arial"/>
        </w:rPr>
        <w:t>:</w:t>
      </w:r>
    </w:p>
    <w:p w14:paraId="1C902F08" w14:textId="77777777" w:rsidR="007619EB" w:rsidRDefault="007619EB">
      <w:pPr>
        <w:ind w:firstLine="567"/>
        <w:jc w:val="both"/>
      </w:pPr>
      <w:r>
        <w:rPr>
          <w:rFonts w:ascii="Arial" w:hAnsi="Arial" w:cs="Arial"/>
        </w:rPr>
        <w:t>- пункт 4.1.2. изложить в следующей редакции:</w:t>
      </w:r>
    </w:p>
    <w:p w14:paraId="626902F9" w14:textId="77777777" w:rsidR="007619EB" w:rsidRDefault="007619EB">
      <w:pPr>
        <w:ind w:firstLine="567"/>
        <w:jc w:val="both"/>
      </w:pPr>
      <w:r>
        <w:rPr>
          <w:rFonts w:ascii="Arial" w:hAnsi="Arial" w:cs="Arial"/>
        </w:rPr>
        <w:t>"4.1.2. Банк может классифицировать часть актива, обеспеченную гарантией гарантийного фонда, лицензируемого и регулируемого в соответствии с законодательством Кыргызской Республики, как "нормальный актив", при одновременном соблюдении всех следующих условий:</w:t>
      </w:r>
    </w:p>
    <w:p w14:paraId="71A3E5B8" w14:textId="77777777" w:rsidR="007619EB" w:rsidRDefault="007619EB">
      <w:pPr>
        <w:ind w:firstLine="567"/>
        <w:jc w:val="both"/>
      </w:pPr>
      <w:r>
        <w:rPr>
          <w:rFonts w:ascii="Arial" w:hAnsi="Arial" w:cs="Arial"/>
        </w:rPr>
        <w:t>- более 50% активов гарантийного фонда являются безрисковыми активами на день выдачи гарантии;</w:t>
      </w:r>
    </w:p>
    <w:p w14:paraId="37B0A6D3" w14:textId="77777777" w:rsidR="007619EB" w:rsidRDefault="007619EB">
      <w:pPr>
        <w:ind w:firstLine="567"/>
        <w:jc w:val="both"/>
      </w:pPr>
      <w:r>
        <w:rPr>
          <w:rFonts w:ascii="Arial" w:hAnsi="Arial" w:cs="Arial"/>
        </w:rPr>
        <w:t>- объем активов, обеспеченных гарантией гарантийного фонда, не должен превышать суммы высоколиквидных активов гарантийного фонда более чем в два раза.</w:t>
      </w:r>
    </w:p>
    <w:p w14:paraId="0EFCC48C" w14:textId="77777777" w:rsidR="007619EB" w:rsidRDefault="007619EB">
      <w:pPr>
        <w:ind w:firstLine="567"/>
        <w:jc w:val="both"/>
      </w:pPr>
      <w:r>
        <w:rPr>
          <w:rFonts w:ascii="Arial" w:hAnsi="Arial" w:cs="Arial"/>
        </w:rPr>
        <w:t>В целях настоящего пункта под "безрисковыми активами" необходимо понимать ценные бумаги Правительства Кыргызской Республики и Национального банка, а также срочные депозиты, размещенные в банках, соответствующие следующим условиям:</w:t>
      </w:r>
    </w:p>
    <w:p w14:paraId="120CE4D0" w14:textId="77777777" w:rsidR="007619EB" w:rsidRDefault="007619EB">
      <w:pPr>
        <w:ind w:firstLine="567"/>
        <w:jc w:val="both"/>
      </w:pPr>
      <w:r>
        <w:rPr>
          <w:rFonts w:ascii="Arial" w:hAnsi="Arial" w:cs="Arial"/>
        </w:rPr>
        <w:t>- наличие значительной доли государственного участия и/или доли участия органов государственной власти Кыргызской Республики со специальным статусом;</w:t>
      </w:r>
    </w:p>
    <w:p w14:paraId="13B2AAA6" w14:textId="77777777" w:rsidR="007619EB" w:rsidRDefault="007619EB">
      <w:pPr>
        <w:ind w:firstLine="567"/>
        <w:jc w:val="both"/>
      </w:pPr>
      <w:r>
        <w:rPr>
          <w:rFonts w:ascii="Arial" w:hAnsi="Arial" w:cs="Arial"/>
        </w:rPr>
        <w:t>- отсутствие ограничений в перечне разрешенных банковских операций в национальной и/или иностранной валютах;</w:t>
      </w:r>
    </w:p>
    <w:p w14:paraId="484966CA" w14:textId="77777777" w:rsidR="007619EB" w:rsidRDefault="007619EB">
      <w:pPr>
        <w:ind w:firstLine="567"/>
        <w:jc w:val="both"/>
      </w:pPr>
      <w:r>
        <w:rPr>
          <w:rFonts w:ascii="Arial" w:hAnsi="Arial" w:cs="Arial"/>
        </w:rPr>
        <w:t>- соблюдение экономических нормативов и требований;</w:t>
      </w:r>
    </w:p>
    <w:p w14:paraId="42F92DF9" w14:textId="77777777" w:rsidR="007619EB" w:rsidRDefault="007619EB">
      <w:pPr>
        <w:ind w:firstLine="567"/>
        <w:jc w:val="both"/>
      </w:pPr>
      <w:r>
        <w:rPr>
          <w:rFonts w:ascii="Arial" w:hAnsi="Arial" w:cs="Arial"/>
        </w:rPr>
        <w:t>- отсутствие введенных специальных режимов.".</w:t>
      </w:r>
    </w:p>
    <w:p w14:paraId="6C657415" w14:textId="77777777" w:rsidR="007619EB" w:rsidRDefault="007619EB">
      <w:pPr>
        <w:pStyle w:val="tkRedakcijaTekst"/>
      </w:pPr>
      <w:r>
        <w:rPr>
          <w:sz w:val="24"/>
          <w:szCs w:val="24"/>
        </w:rPr>
        <w:t xml:space="preserve">2. (Утратил силу в соответствии с постановлением Правления Нацбанка КР от </w:t>
      </w:r>
      <w:hyperlink r:id="rId17" w:history="1">
        <w:r>
          <w:rPr>
            <w:rStyle w:val="a3"/>
            <w:sz w:val="24"/>
            <w:szCs w:val="24"/>
          </w:rPr>
          <w:t>28 сентября 2022 года № 2022-П-12/60-2</w:t>
        </w:r>
      </w:hyperlink>
      <w:r>
        <w:rPr>
          <w:sz w:val="24"/>
          <w:szCs w:val="24"/>
        </w:rPr>
        <w:t>)</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619EB"/>
    <w:rsid w:val="007619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9F94A2"/>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spacing w:before="100" w:beforeAutospacing="1" w:after="100" w:afterAutospacing="1"/>
    </w:pPr>
  </w:style>
  <w:style w:type="paragraph" w:styleId="a5">
    <w:name w:val="Balloon Text"/>
    <w:basedOn w:val="a"/>
    <w:link w:val="a6"/>
    <w:uiPriority w:val="99"/>
    <w:semiHidden/>
    <w:unhideWhenUsed/>
    <w:rPr>
      <w:rFonts w:ascii="Tahoma" w:hAnsi="Tahoma" w:cs="Tahoma"/>
      <w:sz w:val="16"/>
      <w:szCs w:val="16"/>
    </w:rPr>
  </w:style>
  <w:style w:type="character" w:customStyle="1" w:styleId="a6">
    <w:name w:val="Текст выноски Знак"/>
    <w:basedOn w:val="a0"/>
    <w:link w:val="a5"/>
    <w:uiPriority w:val="99"/>
    <w:semiHidden/>
    <w:rPr>
      <w:rFonts w:ascii="Tahoma" w:hAnsi="Tahoma" w:cs="Tahoma" w:hint="default"/>
    </w:rPr>
  </w:style>
  <w:style w:type="paragraph" w:customStyle="1" w:styleId="tkRedakcijaSpisok">
    <w:name w:val="_В редакции список (tkRedakcijaSpisok)"/>
    <w:basedOn w:val="a"/>
    <w:pPr>
      <w:spacing w:after="200" w:line="276" w:lineRule="auto"/>
      <w:ind w:left="1134" w:right="1134"/>
      <w:jc w:val="center"/>
    </w:pPr>
    <w:rPr>
      <w:rFonts w:ascii="Arial" w:hAnsi="Arial" w:cs="Arial"/>
      <w:i/>
      <w:iCs/>
      <w:sz w:val="20"/>
      <w:szCs w:val="20"/>
    </w:rPr>
  </w:style>
  <w:style w:type="paragraph" w:customStyle="1" w:styleId="tkRedakcijaTekst">
    <w:name w:val="_В редакции текст (tkRedakcijaTekst)"/>
    <w:basedOn w:val="a"/>
    <w:pPr>
      <w:spacing w:after="60" w:line="276" w:lineRule="auto"/>
      <w:ind w:firstLine="567"/>
      <w:jc w:val="both"/>
    </w:pPr>
    <w:rPr>
      <w:rFonts w:ascii="Arial" w:hAnsi="Arial" w:cs="Arial"/>
      <w:i/>
      <w:iCs/>
      <w:sz w:val="20"/>
      <w:szCs w:val="20"/>
    </w:rPr>
  </w:style>
  <w:style w:type="paragraph" w:customStyle="1" w:styleId="msochpdefault">
    <w:name w:val="msochpdefault"/>
    <w:basedOn w:val="a"/>
    <w:pPr>
      <w:spacing w:before="100" w:beforeAutospacing="1" w:after="100" w:afterAutospacing="1"/>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d.minjust.gov.kg/800767" TargetMode="External"/><Relationship Id="rId13" Type="http://schemas.openxmlformats.org/officeDocument/2006/relationships/hyperlink" Target="https://cbd.minjust.gov.kg/31371"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bd.minjust.gov.kg/111486" TargetMode="External"/><Relationship Id="rId12" Type="http://schemas.openxmlformats.org/officeDocument/2006/relationships/hyperlink" Target="https://cbd.minjust.gov.kg/800475" TargetMode="External"/><Relationship Id="rId17" Type="http://schemas.openxmlformats.org/officeDocument/2006/relationships/hyperlink" Target="https://cbd.minjust.gov.kg/800475" TargetMode="External"/><Relationship Id="rId2" Type="http://schemas.openxmlformats.org/officeDocument/2006/relationships/settings" Target="settings.xml"/><Relationship Id="rId16" Type="http://schemas.openxmlformats.org/officeDocument/2006/relationships/hyperlink" Target="https://cbd.minjust.gov.kg/31371" TargetMode="External"/><Relationship Id="rId1" Type="http://schemas.openxmlformats.org/officeDocument/2006/relationships/styles" Target="styles.xml"/><Relationship Id="rId6" Type="http://schemas.openxmlformats.org/officeDocument/2006/relationships/hyperlink" Target="https://cbd.minjust.gov.kg/111486" TargetMode="External"/><Relationship Id="rId11" Type="http://schemas.openxmlformats.org/officeDocument/2006/relationships/hyperlink" Target="https://cbd.minjust.gov.kg/800475" TargetMode="External"/><Relationship Id="rId5" Type="http://schemas.openxmlformats.org/officeDocument/2006/relationships/hyperlink" Target="https://cbd.minjust.gov.kg/800475" TargetMode="External"/><Relationship Id="rId15" Type="http://schemas.openxmlformats.org/officeDocument/2006/relationships/hyperlink" Target="https://cbd.minjust.gov.kg/31372" TargetMode="External"/><Relationship Id="rId10" Type="http://schemas.openxmlformats.org/officeDocument/2006/relationships/hyperlink" Target="https://cbd.minjust.gov.kg/31371" TargetMode="External"/><Relationship Id="rId19"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hyperlink" Target="https://cbd.minjust.gov.kg/31372" TargetMode="External"/><Relationship Id="rId14" Type="http://schemas.openxmlformats.org/officeDocument/2006/relationships/hyperlink" Target="https://cbd.minjust.gov.kg/313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677</Words>
  <Characters>3865</Characters>
  <Application>Microsoft Office Word</Application>
  <DocSecurity>0</DocSecurity>
  <Lines>32</Lines>
  <Paragraphs>9</Paragraphs>
  <ScaleCrop>false</ScaleCrop>
  <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2023-12-15T21:36:00Z</dcterms:created>
  <dcterms:modified xsi:type="dcterms:W3CDTF">2023-12-15T21:36:00Z</dcterms:modified>
</cp:coreProperties>
</file>