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A6FCC" w14:textId="77777777" w:rsidR="00497919" w:rsidRDefault="00497919">
      <w:pPr>
        <w:spacing w:after="480"/>
        <w:ind w:firstLine="397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09EE0CEA" wp14:editId="0C7214CC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FD308" w14:textId="77777777" w:rsidR="00497919" w:rsidRDefault="00497919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4EEF9F5D" w14:textId="77777777" w:rsidR="00497919" w:rsidRDefault="00497919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59C19B3C" w14:textId="77777777" w:rsidR="00497919" w:rsidRDefault="00497919">
      <w:pPr>
        <w:spacing w:after="240"/>
        <w:jc w:val="both"/>
      </w:pPr>
      <w:r>
        <w:rPr>
          <w:rFonts w:ascii="Arial" w:hAnsi="Arial" w:cs="Arial"/>
        </w:rPr>
        <w:t>от 31</w:t>
      </w:r>
      <w:r>
        <w:rPr>
          <w:rFonts w:ascii="Arial" w:hAnsi="Arial" w:cs="Arial"/>
          <w:lang w:val="ky-KG"/>
        </w:rPr>
        <w:t xml:space="preserve"> марта</w:t>
      </w:r>
      <w:r>
        <w:rPr>
          <w:rFonts w:ascii="Arial" w:hAnsi="Arial" w:cs="Arial"/>
        </w:rPr>
        <w:t xml:space="preserve"> 202</w:t>
      </w:r>
      <w:r>
        <w:rPr>
          <w:rFonts w:ascii="Arial" w:hAnsi="Arial" w:cs="Arial"/>
          <w:lang w:val="ky-KG"/>
        </w:rPr>
        <w:t>2</w:t>
      </w:r>
      <w:r>
        <w:rPr>
          <w:rFonts w:ascii="Arial" w:hAnsi="Arial" w:cs="Arial"/>
        </w:rPr>
        <w:t xml:space="preserve"> года № 2022-П-12/19-4-(НПА)</w:t>
      </w:r>
    </w:p>
    <w:p w14:paraId="736D2E93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b/>
          <w:bCs/>
          <w:sz w:val="28"/>
          <w:szCs w:val="28"/>
        </w:rPr>
        <w:t>О дополнительных временных решениях Национального банка Кыргызской Республики по вопросам классификации активов финансово-кредитных организаций</w:t>
      </w:r>
    </w:p>
    <w:p w14:paraId="3EA0BF2E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b/>
          <w:bCs/>
          <w:i/>
          <w:iCs/>
          <w:sz w:val="28"/>
          <w:szCs w:val="28"/>
        </w:rPr>
        <w:t> </w:t>
      </w:r>
    </w:p>
    <w:p w14:paraId="37D31244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i/>
          <w:iCs/>
          <w:sz w:val="28"/>
          <w:szCs w:val="28"/>
        </w:rPr>
        <w:t xml:space="preserve">(В редакции </w:t>
      </w:r>
      <w:r>
        <w:rPr>
          <w:rFonts w:ascii="Arial" w:hAnsi="Arial" w:cs="Arial"/>
          <w:i/>
          <w:iCs/>
          <w:sz w:val="28"/>
          <w:szCs w:val="28"/>
        </w:rPr>
        <w:t xml:space="preserve">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  <w:sz w:val="28"/>
            <w:szCs w:val="28"/>
          </w:rPr>
          <w:t>28 сентября 2022 года № 2022-П-12/60-2</w:t>
        </w:r>
      </w:hyperlink>
      <w:r>
        <w:rPr>
          <w:rFonts w:ascii="Arial" w:hAnsi="Arial" w:cs="Arial"/>
          <w:i/>
          <w:iCs/>
          <w:sz w:val="28"/>
          <w:szCs w:val="28"/>
        </w:rPr>
        <w:t>)</w:t>
      </w:r>
    </w:p>
    <w:p w14:paraId="37708A47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</w:rPr>
        <w:t> </w:t>
      </w:r>
    </w:p>
    <w:p w14:paraId="73759BE2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целях сохранения стабильности в банковской системе страны и в соответствии со </w:t>
      </w:r>
      <w:hyperlink r:id="rId6" w:anchor="st_20" w:history="1">
        <w:r>
          <w:rPr>
            <w:rStyle w:val="a3"/>
            <w:rFonts w:ascii="Arial" w:hAnsi="Arial" w:cs="Arial"/>
          </w:rPr>
          <w:t>статьями 20</w:t>
        </w:r>
      </w:hyperlink>
      <w:r>
        <w:rPr>
          <w:rFonts w:ascii="Arial" w:hAnsi="Arial" w:cs="Arial"/>
        </w:rPr>
        <w:t xml:space="preserve">, </w:t>
      </w:r>
      <w:hyperlink r:id="rId7" w:anchor="st_68" w:history="1">
        <w:r>
          <w:rPr>
            <w:rStyle w:val="a3"/>
            <w:rFonts w:ascii="Arial" w:hAnsi="Arial" w:cs="Arial"/>
          </w:rPr>
          <w:t>68</w:t>
        </w:r>
      </w:hyperlink>
      <w:r>
        <w:rPr>
          <w:rFonts w:ascii="Arial" w:hAnsi="Arial" w:cs="Arial"/>
        </w:rPr>
        <w:t xml:space="preserve"> и </w:t>
      </w:r>
      <w:hyperlink r:id="rId8" w:anchor="st_87" w:history="1">
        <w:r>
          <w:rPr>
            <w:rStyle w:val="a3"/>
            <w:rFonts w:ascii="Arial" w:hAnsi="Arial" w:cs="Arial"/>
          </w:rPr>
          <w:t>87</w:t>
        </w:r>
      </w:hyperlink>
      <w:r>
        <w:rPr>
          <w:rFonts w:ascii="Arial" w:hAnsi="Arial" w:cs="Arial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</w:t>
      </w:r>
    </w:p>
    <w:p w14:paraId="01EA21FE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изменения в следующие постановления Правления Национального банка Кыргызской Республики </w:t>
      </w:r>
      <w:hyperlink r:id="rId9" w:anchor="pr" w:history="1">
        <w:r>
          <w:rPr>
            <w:rStyle w:val="a3"/>
            <w:rFonts w:ascii="Arial" w:hAnsi="Arial" w:cs="Arial"/>
          </w:rPr>
          <w:t>(прилагаются):</w:t>
        </w:r>
      </w:hyperlink>
    </w:p>
    <w:p w14:paraId="0E26CE8A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(абзац утратил силу в соответствии с постановлением Правления Нацбанка КР от </w:t>
      </w:r>
      <w:hyperlink r:id="rId10" w:history="1">
        <w:r>
          <w:rPr>
            <w:rStyle w:val="a3"/>
            <w:rFonts w:ascii="Arial" w:hAnsi="Arial" w:cs="Arial"/>
            <w:i/>
            <w:iCs/>
          </w:rPr>
          <w:t>28 сентября 2022 года № 2022-П-12/60-2</w:t>
        </w:r>
      </w:hyperlink>
      <w:r>
        <w:rPr>
          <w:rFonts w:ascii="Arial" w:hAnsi="Arial" w:cs="Arial"/>
          <w:i/>
          <w:iCs/>
        </w:rPr>
        <w:t>)</w:t>
      </w:r>
    </w:p>
    <w:p w14:paraId="01CE3FA2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 xml:space="preserve">- «Об </w:t>
      </w:r>
      <w:r>
        <w:rPr>
          <w:rFonts w:ascii="Arial" w:hAnsi="Arial" w:cs="Arial"/>
        </w:rPr>
        <w:t xml:space="preserve">утверждении Положения «О классификации активов и соответствующих отчислениях в резерв на покрытие потенциальных потерь и убытков» от </w:t>
      </w:r>
      <w:hyperlink r:id="rId11" w:history="1">
        <w:r>
          <w:rPr>
            <w:rStyle w:val="a3"/>
            <w:rFonts w:ascii="Arial" w:hAnsi="Arial" w:cs="Arial"/>
          </w:rPr>
          <w:t>21 июля 2004 года № 18/3. </w:t>
        </w:r>
      </w:hyperlink>
    </w:p>
    <w:p w14:paraId="606BD682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2. Банкам и небанковским финансово-кредитным организациям, зарегистрированным в Кыргызской Республике, не начислять и не взимать комиссионные и иные платежи по пересмотру условий кредитных договоров в связи с изменениями денежных потоков и финансового положения заемщиков ввиду влияния текущей геополитической ситуации и негативных последствий внешнеэкономического шока. </w:t>
      </w:r>
    </w:p>
    <w:p w14:paraId="24111CF6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 3. 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 w14:paraId="3F90CAC8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4. Юридическому управлению:</w:t>
      </w:r>
    </w:p>
    <w:p w14:paraId="30C02416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- опубликовать настоящее постановление на официальном интернет-сайте Национального банка Кыргызской Республики;</w:t>
      </w:r>
    </w:p>
    <w:p w14:paraId="56353A21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303F188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5. Управлению методологии надзора и лицензирования банков довести настоящее постановление до сведения ОЮЛ «Союз банков Кыргызстана», коммерческих банков, всех структурных подразделений, областных управлений, представительства Национального банка в Баткенской области. </w:t>
      </w:r>
    </w:p>
    <w:p w14:paraId="5955DDAC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6. Управлению надзора за небанковскими финансово-кредитными организациями довести настоящее постановление до сведения ОЮЛ «Ассоциация микрофинансовых организаций», микрофинансовых компаний, привлекающих срочные депозиты, ОАО «Финансовая компания кредитных союзов», ОАО «Гарантийный фонд». </w:t>
      </w:r>
    </w:p>
    <w:p w14:paraId="4E260592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7. Контроль за исполнением настоящего постановления возложить на члена Правления Национального банка Кыргызской Республики, курирующего управление методологии надзора и лицензирования банков. </w:t>
      </w:r>
    </w:p>
    <w:p w14:paraId="23B09612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CE55A9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9F6D2" w14:textId="77777777" w:rsidR="00497919" w:rsidRDefault="00497919">
            <w:pPr>
              <w:spacing w:after="120"/>
              <w:jc w:val="both"/>
            </w:pPr>
            <w:r>
              <w:rPr>
                <w:rFonts w:ascii="Arial" w:hAnsi="Arial" w:cs="Arial"/>
                <w:b/>
                <w:bCs/>
              </w:rPr>
              <w:t xml:space="preserve">Председатель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EBEAB" w14:textId="77777777" w:rsidR="00497919" w:rsidRDefault="00497919">
            <w:pPr>
              <w:spacing w:after="120"/>
              <w:ind w:firstLine="397"/>
              <w:jc w:val="right"/>
            </w:pPr>
            <w:r>
              <w:rPr>
                <w:rFonts w:ascii="Arial" w:hAnsi="Arial" w:cs="Arial"/>
                <w:b/>
                <w:bCs/>
              </w:rPr>
              <w:t>К. Боконтаев</w:t>
            </w:r>
          </w:p>
        </w:tc>
      </w:tr>
    </w:tbl>
    <w:p w14:paraId="55D07292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8C83B95" w14:textId="77777777" w:rsidR="00497919" w:rsidRDefault="00497919">
      <w:pPr>
        <w:spacing w:after="120"/>
        <w:ind w:firstLine="397"/>
        <w:jc w:val="center"/>
      </w:pPr>
      <w:bookmarkStart w:id="0" w:name="pr"/>
      <w:bookmarkEnd w:id="0"/>
      <w:r>
        <w:rPr>
          <w:rFonts w:ascii="Arial" w:hAnsi="Arial" w:cs="Arial"/>
          <w:b/>
          <w:bCs/>
          <w:sz w:val="28"/>
          <w:szCs w:val="28"/>
        </w:rPr>
        <w:t>Изменения</w:t>
      </w:r>
    </w:p>
    <w:p w14:paraId="74A29639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b/>
          <w:bCs/>
          <w:sz w:val="28"/>
          <w:szCs w:val="28"/>
        </w:rPr>
        <w:t>в некоторые нормативные правовые акты Национального банка Кыргызской Республики</w:t>
      </w:r>
    </w:p>
    <w:p w14:paraId="1C69F368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i/>
          <w:iCs/>
          <w:sz w:val="28"/>
          <w:szCs w:val="28"/>
        </w:rPr>
        <w:t> </w:t>
      </w:r>
    </w:p>
    <w:p w14:paraId="27ABA96F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i/>
          <w:iCs/>
          <w:sz w:val="28"/>
          <w:szCs w:val="28"/>
        </w:rPr>
        <w:t xml:space="preserve">(В редакции </w:t>
      </w:r>
      <w:r>
        <w:rPr>
          <w:rFonts w:ascii="Arial" w:hAnsi="Arial" w:cs="Arial"/>
          <w:i/>
          <w:iCs/>
          <w:sz w:val="28"/>
          <w:szCs w:val="28"/>
        </w:rPr>
        <w:t xml:space="preserve">постановления Правления Нацбанка КР от </w:t>
      </w:r>
      <w:hyperlink r:id="rId12" w:history="1">
        <w:r>
          <w:rPr>
            <w:rStyle w:val="a3"/>
            <w:rFonts w:ascii="Arial" w:hAnsi="Arial" w:cs="Arial"/>
            <w:i/>
            <w:iCs/>
            <w:sz w:val="28"/>
            <w:szCs w:val="28"/>
          </w:rPr>
          <w:t>28 сентября 2022 года № 2022-П-12/60-2</w:t>
        </w:r>
      </w:hyperlink>
      <w:r>
        <w:rPr>
          <w:rFonts w:ascii="Arial" w:hAnsi="Arial" w:cs="Arial"/>
          <w:i/>
          <w:iCs/>
          <w:sz w:val="28"/>
          <w:szCs w:val="28"/>
        </w:rPr>
        <w:t>)</w:t>
      </w:r>
    </w:p>
    <w:p w14:paraId="7F8FDA31" w14:textId="77777777" w:rsidR="00497919" w:rsidRDefault="00497919">
      <w:pPr>
        <w:spacing w:after="120"/>
        <w:ind w:firstLine="397"/>
        <w:jc w:val="center"/>
      </w:pPr>
      <w:r>
        <w:rPr>
          <w:rFonts w:ascii="Arial" w:hAnsi="Arial" w:cs="Arial"/>
          <w:b/>
          <w:bCs/>
          <w:sz w:val="28"/>
          <w:szCs w:val="28"/>
        </w:rPr>
        <w:t> </w:t>
      </w:r>
    </w:p>
    <w:p w14:paraId="4CB285F5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1. (Утратил </w:t>
      </w:r>
      <w:r>
        <w:rPr>
          <w:rFonts w:ascii="Arial" w:hAnsi="Arial" w:cs="Arial"/>
          <w:i/>
          <w:iCs/>
        </w:rPr>
        <w:t xml:space="preserve">силу в соответствии с постановлением Правления Нацбанка КР от </w:t>
      </w:r>
      <w:hyperlink r:id="rId13" w:history="1">
        <w:r>
          <w:rPr>
            <w:rStyle w:val="a3"/>
            <w:rFonts w:ascii="Arial" w:hAnsi="Arial" w:cs="Arial"/>
            <w:i/>
            <w:iCs/>
            <w:sz w:val="28"/>
            <w:szCs w:val="28"/>
          </w:rPr>
          <w:t>28 сентября 2022 года № 2022-П-12/60-2</w:t>
        </w:r>
      </w:hyperlink>
      <w:r>
        <w:rPr>
          <w:rFonts w:ascii="Arial" w:hAnsi="Arial" w:cs="Arial"/>
          <w:i/>
          <w:iCs/>
        </w:rPr>
        <w:t>)</w:t>
      </w:r>
    </w:p>
    <w:p w14:paraId="77C9E117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 xml:space="preserve">2. Внести в постановление Правления Национального банка Кыргызской Республики «Об утверждении Положения «О классификации активов и соответствующих отчислениях в резерв на покрытие потенциальных потерь и убытков» от </w:t>
      </w:r>
      <w:hyperlink r:id="rId14" w:history="1">
        <w:r>
          <w:rPr>
            <w:rStyle w:val="a3"/>
            <w:rFonts w:ascii="Arial" w:hAnsi="Arial" w:cs="Arial"/>
          </w:rPr>
          <w:t>21 июля 2004 года № 18/3</w:t>
        </w:r>
      </w:hyperlink>
      <w:r>
        <w:rPr>
          <w:rFonts w:ascii="Arial" w:hAnsi="Arial" w:cs="Arial"/>
        </w:rPr>
        <w:t xml:space="preserve"> следующее изменение: </w:t>
      </w:r>
    </w:p>
    <w:p w14:paraId="16CD2E70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в Положении «О классификации активов и соответствующих отчислениях в резерв на покрытие потенциальных потерь и убытков», утвержденном вышеуказанным постановлением: </w:t>
      </w:r>
    </w:p>
    <w:p w14:paraId="587B348F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- семнадцатый абзац подпункта 4.1.1. изложить в следующей редакции: </w:t>
      </w:r>
    </w:p>
    <w:p w14:paraId="099C42CB" w14:textId="77777777" w:rsidR="00497919" w:rsidRDefault="00497919">
      <w:pPr>
        <w:spacing w:after="120"/>
        <w:ind w:firstLine="397"/>
        <w:jc w:val="both"/>
      </w:pPr>
      <w:r>
        <w:rPr>
          <w:rFonts w:ascii="Arial" w:hAnsi="Arial" w:cs="Arial"/>
        </w:rPr>
        <w:t>«Банки могут классифицировать вновь выданные кредиты в долларах США как «нормальные активы» в случае, если они соответствуют требованиям, указанным в пункте 4.2. настоящего Положения, с формированием РППУ в размере от 0 до 2 процентов вне зависимости от структуры доходов в соответствии с внутренней политикой банка. При этом данные требования распространяются на льготные кредиты, выданные в рамках сотрудничества Кабинета Министров Кыргызской Республики с Правительством Российской Федерации (Российско-Кыргызс</w:t>
      </w:r>
      <w:r>
        <w:rPr>
          <w:rFonts w:ascii="Arial" w:hAnsi="Arial" w:cs="Arial"/>
        </w:rPr>
        <w:t>кий Фонд развития – далее Фонд развития), в том числе по кредитам за счет средств, привлеченных и гарантированных Фондом развития от иных зарубежных финансовых институтов, включая ранее выданные кредиты,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договора.».</w:t>
      </w:r>
    </w:p>
    <w:p w14:paraId="4ABB2E5A" w14:textId="77777777" w:rsidR="00497919" w:rsidRDefault="0049791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19"/>
    <w:rsid w:val="0049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BDE64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486" TargetMode="External"/><Relationship Id="rId13" Type="http://schemas.openxmlformats.org/officeDocument/2006/relationships/hyperlink" Target="https://cbd.minjust.gov.kg/80047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80047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1371" TargetMode="External"/><Relationship Id="rId5" Type="http://schemas.openxmlformats.org/officeDocument/2006/relationships/hyperlink" Target="https://cbd.minjust.gov.kg/80047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80047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828" TargetMode="External"/><Relationship Id="rId14" Type="http://schemas.openxmlformats.org/officeDocument/2006/relationships/hyperlink" Target="https://cbd.minjust.gov.kg/31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