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80" w:before="0"/>
        <w:ind w:right="0" w:firstLine="397" w:left="0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ПРАВЛЕНИЕ НАЦИОНАЛЬНОГО БАНКА КЫРГЫЗСКОЙ РЕСПУБЛИКИ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80" w:before="0"/>
        <w:ind w:right="0" w:firstLine="397" w:left="0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ПОСТАНОВЛЕНИЕ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от 11 декабря 2024 года № 2024-П-12/66-1-(НПА)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Правил регулирования деятельности микрофинансовых организаций, осуществляющих операции по исламским принципам банковского дела и финансирования" от 30 </w:t>
      </w: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мая 2014 года № 24/11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25872/ru#st_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25872/ru#st_9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25872/ru#st_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</w:t>
      </w:r>
      <w:r>
        <w:rPr>
          <w:rFonts w:ascii="Arial" w:hAnsi="Arial" w:eastAsia="Arial" w:cs="Arial"/>
          <w:sz w:val="24"/>
          <w:szCs w:val="24"/>
        </w:rPr>
        <w:t xml:space="preserve">изменения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в </w:t>
      </w:r>
      <w:hyperlink r:id="rId12" w:tooltip="https://cbd.minjust.gov.kg/8-500/edition/895885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3" w:tooltip="https://cbd.minjust.gov.kg/302944/edition/1068598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(прилагается).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довести настоящее постановление до сведения Объединения юридических лиц "Ассоциация микрофинансовых организаций" и микрофинансовых организаций.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областных управлений и Представительства Национального банка Кыргызской Республики в Баткенской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области.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Национального банка Кыргызской Республики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М.Тургунбаев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  <w:br/>
              <w:t xml:space="preserve">к постановлению Правления Национального банка Кыргызской Республики</w:t>
              <w:br/>
              <w:t xml:space="preserve">от 11 декабря 2024 года № 2024-П-12/66-1-(НПА)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постановление Правления Национального банка Кыргызской Республики "Об утверждении Правил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да № 24/11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14" w:tooltip="https://cbd.minjust.gov.kg/8-500/edition/895885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5" w:tooltip="https://cbd.minjust.gov.kg/302944/edition/1068598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6" w:tooltip="https://cbd.minjust.gov.kg/302944/edition/1068598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утвержденного вышеуказанным </w:t>
      </w:r>
      <w:hyperlink r:id="rId17" w:tooltip="https://cbd.minjust.gov.kg/8-500/edition/895885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8" w:tooltip="https://cbd.minjust.gov.kg/302944/edition/1068598/ru#g1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главе первой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"1. Настоящие Правила регулируют деятельность лицензируемых и регулируемых Национальным банком Кыргызской Республики микрофинансовых организаций, осуществляющих операции по исламским принципам банковского дела и финансирования (далее - Правила), в том числ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 микрофинансовых организаций, имеющих "исламское окно" (далее - МФО).";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3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"3. МФО могут устанавливать более высокие требования по экономическим нормативам, согласно своей внутренней политике управления рисками, не нарушая при этом значения, установленные для МФО в нормативных правовых актах Национального банка Кыргызской Республ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ики.";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6 слова "Микрофинансовые организации" заменить словом "МФО";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пункта 8-2 изложить в следующей редакции;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"Под МФО, занимающейся оптовым финансированием, подразумевается МФО, в которой доля оптового финансирования составляет более 70 (семидесяти) процентов от его портфеля по финансированию.";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9" w:tooltip="https://cbd.minjust.gov.kg/302944/edition/1068598/ru#g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главе второй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наименовании слова "привлечение денежных средств" заменить словами "прием вкладов";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пятый пункта 9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максимальный совокупный размер финансирования, предоставляемого одному и тому же клиенту или группе связанных лиц, в размере не более 3 (трех) процентов от минимального размера уставного капитала для вновь создаваемой МФК (не привлекающей срочные вклады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от физических и юридических лиц);";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девятый пункта 12 признать утратившим силу;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20" w:tooltip="https://cbd.minjust.gov.kg/302944/edition/1068598/ru#g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12-1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"12-1. Значение норматива минимального размера собственного капитала необходимо поддерживать на уровне не менее 100 (ста) процентов от минимального размера уставного капитала.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Норматив минимального размера собственного капитала определяется по формуле: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/ УК * 100%,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МФК на дату оценки (в соответствии с пунктом 12 настоящих Правил);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УК - минимальный уставный капитал для вновь создаваемых МФК, не осуществляющих прием вкладов, установленный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13 слово "сделке" заменить словом "договору";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21" w:tooltip="https://cbd.minjust.gov.kg/302944/edition/1068598/ru#g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13-4 следующего содержания: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"13-4. Максимальный размер инвестиций в имущество (основные средства) не должен превышать 80 (восемьдесят) процентов размера собственного капитала МФК.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 имуществом понимается имущество (включая строящееся/устанавливаемое недвижимое имущество, транспортные средства и т.д.), которое принадлежит МФК или находится в распоряжении МФК по договору аренды и/или используется/будет использоваться в качестве осно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вного средства.";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15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"15. МФК, не осуществляющие прием вкладов, вправе заимствовать средства от юридических и физических лиц - учредителей (акционеров) МФК и юридических лиц.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22" w:tooltip="https://cbd.minjust.gov.kg/302944/edition/1068598/ru#g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15-2 следующего содержания: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"15-2. Формы финансовой отчетности и сведения об инвестициях, заимствованиях от учредителей, должны быть подписаны председателем правления МФК либо другим лицом, официально имеющим право первой подписи, а также лицом, ответственным за подготовку и представ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ление сведений.";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3" w:tooltip="https://cbd.minjust.gov.kg/302944/edition/1068598/ru#g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главе четвертой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наименовании слова "привлечение денежных средств" заменить словами "прием вкладов";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22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"22. МФК, осуществляющие операции по приему вкладов, обязаны соблюдать установленные Национальным банком экономические нормативы, включая: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минимальный размер оплаченного уставного капитала;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минимальный размер собственного капитала (М1);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норматив достаточности (адекватности) капитала (М2);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риска на одного клиента (М3);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норматив ликвидности (М4);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норматив ограничения риска по возврату вкладов (М5);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риска по операциям с аффилированными и связанными с МФК лицами;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максимальную совокупную задолженность одного работника МФК по финансированию, предоставленному компанией;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инвестиций в МФО, лизинговые компании и банки;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размер инвестиций в негосударственные долговые ценные бумаги;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инвестиций в имущество (основные средства).";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24" w:tooltip="https://cbd.minjust.gov.kg/302944/edition/1068598/ru#g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22-1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"22-1. Микрофинансовые компании имеют право привлекать только срочные вклады от физических и юридических лиц на срок не менее 30 дней.";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первый пункта 23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"23. МФК, осуществляющие операции по приему вкладов, не имеют права:";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5" w:tooltip="https://cbd.minjust.gov.kg/302944/edition/1068598/ru#g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главе пятой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наименование слова "привлечение денежных средств" заменить словами "прием вкладов";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24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"24. Требования к уставному капиталу микрофинансовых компаний, осуществляющих операции по приему срочных вкладов, установлены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25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"Значение норматива минимального собственного капитала (M1) необходимо поддерживать на уровне не менее 100 (сто) процентов от минимального размера уставного капитала.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Норматив минимального собственного капитала МФК (M1) определяется по формуле: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М1 = СК / УК * 100%,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МФК на дату оценки (пункт 12 настоящих Правил);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УК - минимальный уставный капитал для вновь создаваемых МФК, осуществляющих прием вкладов, установленный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27: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четвертом абзаце слово "сделке" заменить словом "договору";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одиннадцатом абзаце на официальном языке слово "одни" заменить словом "один";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28: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во втором абзаце слова "денежные средства" заменить словом "вклады";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пятый абзац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"ОБ - обязательства МФК, включая привлеченные вклады, расчеты по которым наступают в течение 30 дней с момента оценки.";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восьмой абзац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структуру и устойчивость депозитной базы (сроки возврата вкладов, концентрацию источников, политику определения величины нормы доходности)";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29: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первом абзаце слова "денежных средств" заменить словом "вкладов";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четвертом абзаце "денежных средств" заменить словом "вкладов";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30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"30. МФК, привлекающие депозиты, должны осуществлять операции с аффилированными и связанными с МФК лицами в соответствии с </w:t>
      </w:r>
      <w:r>
        <w:rPr>
          <w:rFonts w:ascii="Arial" w:hAnsi="Arial" w:eastAsia="Arial" w:cs="Arial"/>
          <w:sz w:val="24"/>
          <w:szCs w:val="24"/>
        </w:rPr>
        <w:t xml:space="preserve">Инструкцией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операциям микрофинансовых компаний, привлекающих депозиты, с аффилированными и связанными с микрофинансовой компанией и жилищно-сберегательной кредитной компанией лицами", утвержденной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15 июня 2017 года № 2017-П-12/25-6-(НПА). Максимальный совокупный размер риска по операциям с аффилированными и связанными с МФК лицами, выраженный в качестве размера совокупной задолженности аффилиро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ванных и связанных с МФК лиц перед МФК, не должен превышать 60 (шестьдесят) процентов собственного капитала МФК;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Совокупная задолженность одного работника МФК, которому МФК предоставила финансирование, не должна превышать 5 (пяти) процентов от размера собственного капитала МФК и определяется по формуле: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СЗС / СК * 100% ≤ 5%,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СЗС - совокупная задолженность одного работника МФК, которому МФК предоставила финансирование на дату оценки;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МФК на дату оценки.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МФК не вправе предоставлять финансирование аффилированным или связанным с МФК лицам, если общая сумма всего финансирования и их заменителей, предоставленных всем аффилированным и/или связанным с МФК лицам, превышает 60 (шестидесяти) процентов от собственно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го капитала МФК.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Операции по предоставлению финансирования должностным лицам и сотрудникам МФК могут осуществляться только при условии соблюдения требований, указанных в </w:t>
      </w:r>
      <w:r>
        <w:rPr>
          <w:rFonts w:ascii="Arial" w:hAnsi="Arial" w:eastAsia="Arial" w:cs="Arial"/>
          <w:sz w:val="24"/>
          <w:szCs w:val="24"/>
        </w:rPr>
        <w:t xml:space="preserve">Инструкции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операциям микрофинансовых компаний, привлекающих депозиты, с аффилированными и связанными с микрофинансовой компанией и жилищно-сберегательной кредитной компанией лицами", утвержденной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15 июня 2017 года № 2017-П-12/25-6-(НПА).";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31: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абзац первый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"31. Устанавливаются следующие требования в части совокупного размера инвестиций в МФО, лизинговые компании и банки:";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2 слово "сделке" заменить словом "договору";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26" w:tooltip="https://cbd.minjust.gov.kg/302944/edition/1068598/ru#g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32-1 следующего содержания: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"32-1. Максимальный размер инвестиций в имущество (основные средства) для МФК, осуществляющих прием вкладов.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Максимальный размер инвестиций в имущество (основные средства) не должен превышать 20 (двадцати) процентов размера собственного капитала МФК.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 имуществом понимается имущество (включая строящееся/устанавливаемое недвижимое имущество, транспортные средства и т.д.), которое принадлежит МФК или находится в распоряжении МФК по договору аренды и/или используется/будет использоваться в качестве осно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вного средства.";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27" w:tooltip="https://cbd.minjust.gov.kg/302944/edition/1068598/ru#g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32-2 следующего содержания: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"32-2. МФК, привлекающие вклады, вправе заимствовать средства от юридических и физических лиц – учредителей (акционеров) МФК и юридических лиц.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8" w:tooltip="https://cbd.minjust.gov.kg/302944/edition/1068598/ru#g6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главе шестой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наименование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hyperlink r:id="rId29" w:tooltip="https://cbd.minjust.gov.kg/302944/edition/1068598/ru#g6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Глава 6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. Порядок соблюдения МФК экономических нормативов и требований и представления ими сведений в Национальный банк";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35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"35. МФК должны представлять в Национальный банк информацию по исполнению экономических нормативов в соответствии с требованиями и сроками, установленными в рамках периодической регулятивной отчетности.";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30" w:tooltip="https://cbd.minjust.gov.kg/302944/edition/1068598/ru#g6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35-1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"35-1. Ежегодно, после проведения независимого внешнего аудита силами независимых внешних аудиторов, МФК обязана представлять в Национальный банк один экземпляр (копию) полного отчета внешнего аудитора без изменений, включая письмо руководству, в течение 3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0 (тридцати) дней с момента представления отчета внешним аудитором МФК.";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31" w:tooltip="https://cbd.minjust.gov.kg/302944/edition/1068598/ru#g6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38-1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"38-1. МФК должны в течение 5 (пяти) рабочих дней после публикации с приложением 1 (одного) экземпляра (копии) публикации представить в Национальный банк и/или с указанием ссылки на официальный интернет-сайт МФК (портал информационного агентства), в которо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 была опубликована финансовая отчетность, с приложением копии публикации. Ссылка на официальный интернет-сайт/портал информационного агентства также должна быть направлена по электронной почте в уполномоченное структурное подразделение Национального банка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32" w:tooltip="https://cbd.minjust.gov.kg/302944/edition/1068598/ru#g6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38-2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"38-2.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это приведет к нарушению экономических нормативов, установленных Национальным банком;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Примечание: Под обязательствами перед третьими лицами понимаются денежные средства, привлеченные МФК от несвязанных с МФК юридических и физических лиц, и направленные на основную деятельность.";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33" w:tooltip="https://cbd.minjust.gov.kg/302944/edition/1068598/ru#g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главе седьмой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39 слово "сделки" заменить словом "договора";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40 изложить в следующей редакции: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"40. Максимальный совокупный размер финансирования, выдаваемый МКК одному и тому же лицу или группе связанных лиц, должен быть определен в размере не более 10 (десяти) процентов от минимального размера уставного капитала для вновь создаваемых МКК, установл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енный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42-1: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первом абзаце слово "сделке" заменить словом "договору";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3 слово "сделке" заменить словом "договору";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главу дополнить пунктом 43-1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"43-1. МКК, в том числе МКК, занимающаяся оптовым финансированием, имеет право заимствовать средства от юридических и физических лиц - учредителей (акционеров) МКК и юридических лиц.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44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"44. МКК, занимающиеся оптовым финансированием и имеющие обязательства перед кредиторами (в том числе ФКО), должны соблюдать норматив достаточности (адекватности) капитала.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Значение норматива достаточности (адекватности) капитала М2 необходимо поддерживать на уровне не менее 15 (пятнадцати) процентов.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Норматив достаточности (адекватности) капитала определяется по формуле: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M2 = СК / СА * 100%,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МКК на дату оценки;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СА - сумма балансовых активов на дату оценки за минусом суммы депозитов от клиентов, размещенных в ФКО в качестве залога в размере суммы привлеченных денежных средств во вклады в национальной валюте в целях хеджирования валютных рисков.";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34" w:tooltip="https://cbd.minjust.gov.kg/302944/edition/1068598/ru#g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45-1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"45-1. Значение норматива минимального размера собственного капитала необходимо поддерживать на уровне не менее 100 (сто) процентов от минимального размера уставного капитала.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Норматив минимального размера собственного капитала МКК определяется по формуле: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/ УК * 100%,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МКК на дату оценки в соответствии с пунктом 45 настоящих Правил;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УК - минимальный уставный капитал для вновь создаваемых МКК, установленный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главу дополнить пунктом 45-2 следующего содержания: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"45-2.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ограничить выплату дивидендов/распределения прибыли МКК, если: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это приведет к нарушению экономических нормативов, установленных Национальным банком;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Примечание: Под обязательствами перед третьими лицами понимаются денежные средства, привлеченные МКК от несвязанных с МКК юридических и физических лиц, и направленные на основную деятельность.";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47 слово "сделке" заменить словом "договору";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35" w:tooltip="https://cbd.minjust.gov.kg/302944/edition/1068598/ru#g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пунктом 47-1 следующего содержания: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"47-1. Выдача финансирования, в том числе по договору иджара мунтахийя биттамлик, свыше максимального размера финансирования, выдаваемой МКА одному и тому же клиенту или группе связанных лиц, установленного пунктом 47 настоящих Правил, учитывая цели статьи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2 Закона Кыргызской Республики "О микрофинансовых организациях в Кыргызской Республике", допускается в размере не более 2 (двух) процентов от собственного капитала (балансовая стоимость капитала) МКА, на следующие цели: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создание бизнеса (приобретение основных и оборотных средств для организации предпринимательской деятельности) или нового направления в деятельности;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расширение и развитие действующего бизнеса/деятельности, при выполнении одного из следующих вопросов: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внедрение новых технологий, нацеленных на технологическое обновление, внедрение инновационного оборудования и техники;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автоматизация бизнес-процессов;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создание дополнительных рабочих мест;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увеличение масштабов производства.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 выдаче МКА финансирования, в том числе по договору иджара мунтахийя биттамлик, указанных в абзаце первом настоящего пункта, необходимо выполнение следующих условий: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наличие у МКА разработанной в соответствии с целями и задачами МКА политики финансирования с определением конкретных видов продуктов и порядок последующего мониторинга целевого использования предоставляемого финансирования;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наличие информации о клиенте (кредитный отчет) и по усмотрению МКА о связанных с клиентом лицах (при наличии их согласия в соответствии с законодательством Кыргызской Республики) в существующих кредитных бюро;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наличие необходимых документальных подтверждений платежеспособности заявителя (права владения активами, генерирующими доход заявителя, справка о заработной плате с места работы, патент, или решение органа налоговой службы о применении/отказе применения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уплаты налога в зоне торговли с особым режимом, или свидетельство и т.д.), а также проведение оценки платежеспособности заявителя, подтвержденная заключением ответственного специалиста по финансированию или работника в соответствии с политикой финансирован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ия и/или иными внутренними документами МКА;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наличие бизнес-плана на получение финансирования заявителя, при этом в бизнес-плане должны быть указаны цели использования финансирования с соответствующими расчетами и прогнозами.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случае если в портфеле финансирования МКА доля вышеуказанного финансирования занимает 70 (семьдесят) и более процентов, ограничения, указанные в пункте 47, на данные МКА не распространяются.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случае если в портфеле финансирования МКА доля вышеуказанного финансирования составляет менее 70 (семидесяти) процентов, то финансирование до 100 тыс. сомов должно составлять 20 (двадцать) и более процентов от общего портфеля финансирования МКА.".</w:t>
      </w:r>
      <w:r>
        <w:rPr>
          <w:sz w:val="24"/>
          <w:szCs w:val="24"/>
        </w:rPr>
      </w:r>
    </w:p>
    <w:p>
      <w:pPr>
        <w:pBdr/>
        <w:spacing w:after="360"/>
        <w:ind/>
        <w:jc w:val="center"/>
        <w:rPr/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25872/ru#st_5" TargetMode="External"/><Relationship Id="rId10" Type="http://schemas.openxmlformats.org/officeDocument/2006/relationships/hyperlink" Target="https://cbd.minjust.gov.kg/112424/edition/25872/ru#st_9" TargetMode="External"/><Relationship Id="rId11" Type="http://schemas.openxmlformats.org/officeDocument/2006/relationships/hyperlink" Target="https://cbd.minjust.gov.kg/112424/edition/25872/ru#st_64" TargetMode="External"/><Relationship Id="rId12" Type="http://schemas.openxmlformats.org/officeDocument/2006/relationships/hyperlink" Target="https://cbd.minjust.gov.kg/8-500/edition/895885/ru" TargetMode="External"/><Relationship Id="rId13" Type="http://schemas.openxmlformats.org/officeDocument/2006/relationships/hyperlink" Target="https://cbd.minjust.gov.kg/302944/edition/1068598/ru" TargetMode="External"/><Relationship Id="rId14" Type="http://schemas.openxmlformats.org/officeDocument/2006/relationships/hyperlink" Target="https://cbd.minjust.gov.kg/8-500/edition/895885/ru" TargetMode="External"/><Relationship Id="rId15" Type="http://schemas.openxmlformats.org/officeDocument/2006/relationships/hyperlink" Target="https://cbd.minjust.gov.kg/302944/edition/1068598/ru" TargetMode="External"/><Relationship Id="rId16" Type="http://schemas.openxmlformats.org/officeDocument/2006/relationships/hyperlink" Target="https://cbd.minjust.gov.kg/302944/edition/1068598/ru" TargetMode="External"/><Relationship Id="rId17" Type="http://schemas.openxmlformats.org/officeDocument/2006/relationships/hyperlink" Target="https://cbd.minjust.gov.kg/8-500/edition/895885/ru" TargetMode="External"/><Relationship Id="rId18" Type="http://schemas.openxmlformats.org/officeDocument/2006/relationships/hyperlink" Target="https://cbd.minjust.gov.kg/302944/edition/1068598/ru#g1" TargetMode="External"/><Relationship Id="rId19" Type="http://schemas.openxmlformats.org/officeDocument/2006/relationships/hyperlink" Target="https://cbd.minjust.gov.kg/302944/edition/1068598/ru#g2" TargetMode="External"/><Relationship Id="rId20" Type="http://schemas.openxmlformats.org/officeDocument/2006/relationships/hyperlink" Target="https://cbd.minjust.gov.kg/302944/edition/1068598/ru#g2" TargetMode="External"/><Relationship Id="rId21" Type="http://schemas.openxmlformats.org/officeDocument/2006/relationships/hyperlink" Target="https://cbd.minjust.gov.kg/302944/edition/1068598/ru#g2" TargetMode="External"/><Relationship Id="rId22" Type="http://schemas.openxmlformats.org/officeDocument/2006/relationships/hyperlink" Target="https://cbd.minjust.gov.kg/302944/edition/1068598/ru#g2" TargetMode="External"/><Relationship Id="rId23" Type="http://schemas.openxmlformats.org/officeDocument/2006/relationships/hyperlink" Target="https://cbd.minjust.gov.kg/302944/edition/1068598/ru#g4" TargetMode="External"/><Relationship Id="rId24" Type="http://schemas.openxmlformats.org/officeDocument/2006/relationships/hyperlink" Target="https://cbd.minjust.gov.kg/302944/edition/1068598/ru#g4" TargetMode="External"/><Relationship Id="rId25" Type="http://schemas.openxmlformats.org/officeDocument/2006/relationships/hyperlink" Target="https://cbd.minjust.gov.kg/302944/edition/1068598/ru#g5" TargetMode="External"/><Relationship Id="rId26" Type="http://schemas.openxmlformats.org/officeDocument/2006/relationships/hyperlink" Target="https://cbd.minjust.gov.kg/302944/edition/1068598/ru#g5" TargetMode="External"/><Relationship Id="rId27" Type="http://schemas.openxmlformats.org/officeDocument/2006/relationships/hyperlink" Target="https://cbd.minjust.gov.kg/302944/edition/1068598/ru#g5" TargetMode="External"/><Relationship Id="rId28" Type="http://schemas.openxmlformats.org/officeDocument/2006/relationships/hyperlink" Target="https://cbd.minjust.gov.kg/302944/edition/1068598/ru#g6" TargetMode="External"/><Relationship Id="rId29" Type="http://schemas.openxmlformats.org/officeDocument/2006/relationships/hyperlink" Target="https://cbd.minjust.gov.kg/302944/edition/1068598/ru#g6" TargetMode="External"/><Relationship Id="rId30" Type="http://schemas.openxmlformats.org/officeDocument/2006/relationships/hyperlink" Target="https://cbd.minjust.gov.kg/302944/edition/1068598/ru#g6" TargetMode="External"/><Relationship Id="rId31" Type="http://schemas.openxmlformats.org/officeDocument/2006/relationships/hyperlink" Target="https://cbd.minjust.gov.kg/302944/edition/1068598/ru#g6" TargetMode="External"/><Relationship Id="rId32" Type="http://schemas.openxmlformats.org/officeDocument/2006/relationships/hyperlink" Target="https://cbd.minjust.gov.kg/302944/edition/1068598/ru#g6" TargetMode="External"/><Relationship Id="rId33" Type="http://schemas.openxmlformats.org/officeDocument/2006/relationships/hyperlink" Target="https://cbd.minjust.gov.kg/302944/edition/1068598/ru#g7" TargetMode="External"/><Relationship Id="rId34" Type="http://schemas.openxmlformats.org/officeDocument/2006/relationships/hyperlink" Target="https://cbd.minjust.gov.kg/302944/edition/1068598/ru#g7" TargetMode="External"/><Relationship Id="rId35" Type="http://schemas.openxmlformats.org/officeDocument/2006/relationships/hyperlink" Target="https://cbd.minjust.gov.kg/302944/edition/1068598/ru#g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2025-05-06T10:19:17Z</dcterms:modified>
</cp:coreProperties>
</file>