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276" w:lineRule="atLeast"/>
        <w:ind w:right="-1" w:firstLine="0" w:left="0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ПОСТАНОВЛЕНИЕ ПРАВЛЕНИЯ НАЦИОНАЛЬНОГО БАНКА КЫРГЫЗСКОЙ РЕСПУБЛИКИ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200" w:line="276" w:lineRule="atLeast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200" w:line="276" w:lineRule="atLeast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от 28 мая 2025 года № 2025-П-14/26-1-(ПС)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200" w:line="276" w:lineRule="atLeast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"Государственного классификатора платежного оборота" от 30 ноября 2007 года № 51/4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25872/ru#st_5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25872/ru#st_9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25872/ru#st_64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</w:t>
      </w:r>
      <w:hyperlink w:tooltip="#pr" w:anchor="pr" w:history="1">
        <w:r>
          <w:rPr>
            <w:rStyle w:val="878"/>
            <w:rFonts w:ascii="Arial" w:hAnsi="Arial" w:eastAsia="Arial" w:cs="Arial"/>
            <w:sz w:val="24"/>
            <w:szCs w:val="24"/>
          </w:rPr>
        </w:r>
        <w:r>
          <w:rPr>
            <w:rStyle w:val="878"/>
            <w:rFonts w:ascii="Arial" w:hAnsi="Arial" w:eastAsia="Arial" w:cs="Arial"/>
            <w:sz w:val="24"/>
            <w:szCs w:val="24"/>
          </w:rPr>
          <w:t xml:space="preserve">изменения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в </w:t>
      </w:r>
      <w:hyperlink r:id="rId12" w:tooltip="https://cbd.minjust.gov.kg/8-180/edition/11344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3" w:tooltip="https://cbd.minjust.gov.kg/300740/edition/126552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платежного оборота" от 30 ноября 2007 года № 51/4 (прилагаются).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с 1 июня 2025 года.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Банковской информационной системе "Главная книга", Системе пакетного клиринга и Гроссовой системе расчетов в режиме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реального времени Национального банка Кыргызской Республики.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Управлению методологии и лицензирования платежных систем в течение 3 (трех) рабочих дней: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довести настоящее постановление до сведения Министерства финансов Кыргызской Республики и коммерческих банков Кыргызской Республики;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направить в Центр по стандартизации и метрологии при Министерстве экономики и коммерции Кыргызской Республики для последующей государственной регистрации в установленном порядке.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6"/>
        <w:gridCol w:w="2814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Исполняющий обязанности Председателя Национального банка Кыргызской Республики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right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 Аттокуров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1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</w:r>
            <w:bookmarkEnd w:id="1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br/>
              <w:t xml:space="preserve">к постановлению Правления Национального банка Кыргызской Республики</w:t>
              <w:br/>
              <w:t xml:space="preserve">от 28 мая 2025 года № 2025-П-14/26-1-(ПС)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  <w:r>
        <w:rPr>
          <w:sz w:val="24"/>
          <w:szCs w:val="24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Внести в </w:t>
      </w:r>
      <w:hyperlink r:id="rId14" w:tooltip="https://cbd.minjust.gov.kg/8-180/edition/11344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5" w:tooltip="https://cbd.minjust.gov.kg/300740/edition/126552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платежного оборота" от 30 ноября 2007 года № 51/4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6" w:tooltip="https://cbd.minjust.gov.kg/300740/edition/126552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Кыргызской Республики платежного оборота, утвержденном вышеуказанным </w:t>
      </w:r>
      <w:hyperlink r:id="rId17" w:tooltip="https://cbd.minjust.gov.kg/8-180/edition/11344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разделе "Доходы":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группу 111 дополнить подгруппой, статьей и элементом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71"/>
        <w:gridCol w:w="838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Единый налоговый платеж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11141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Единый налоговый платеж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11141100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Единый налоговый платеж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в элементе 14153200 слова "на переработку ртутьсодержащих отходов" исключить;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в) статью 14224 дополнить элементами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76"/>
        <w:gridCol w:w="837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14224530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Сбор на ремонт, содержание, строительство и реконструкцию автомобильных дорог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14224540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Сбор за проезд по автомобильным дорогам общего пользования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14224550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Сбор за проезд по искусственным сооружениям на автомобильных дорогах общего пользования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г) группу 142 дополнить подгруппой, статьями и элементами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71"/>
        <w:gridCol w:w="838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средств от иной деятельности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производственно-хозяйственной деятельности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14241100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производственной деятельности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14241200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деятельности в сфере отдыха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14241300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Поступления, полученные от реализации ценностей Государственного фонда драгоценных металлов и камней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14241400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услуг по транспортировке и утилизации медицинских отходов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14241500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в размере до 2,9 процента на капитальные вложения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14241600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14241700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услуг фельдъегерской связи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14241800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подсобных хозяйств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14241900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поступления от производственно-хозяйственной деятельности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финансовой деятельности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14242100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Процентные доходы от размещенных бюджетных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14242200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удержаний от заработной платы осужденных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14242300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возвратных средств по ранее выданным ссудам из средств специальных счетов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14242400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Комиссия за предоставление поручительства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14242900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поступления от финансовой деятельности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другой деятельности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14243100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договорных работ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14243200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при поступлении, переводе и восстановлении в учебных заведениях, плата при поступлении в учебные заведения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14243300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за проживание в общежитиях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14243400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театрально-зрелищной деятельности и кинопоказов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14243500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от деятельности государственных СМИ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14243600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Поступления средств от подписки на веб-портал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14243700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питание в образовательных учреждениях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14243900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поступления от другой деятельности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поступления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14249100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Попечительские взносы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14249200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14249300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Отчисления вышестоящих учреждений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14249400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Отчисления между подведомственными учреждениями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14249500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Отчисления нижестоящих учреждений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14249600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14249900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поступления, зачисляемые на специальные счета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д) статью 14511 дополнить элементом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71"/>
        <w:gridCol w:w="838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14511140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Доходы, обращенные в пользу государства за счет прибыли от реализации государственных регистрационных номерных знаков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в разделе "Расходы":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элементе 22192200 в версии на государственном языке слово "талондор/" исключить;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в </w:t>
      </w:r>
      <w:r>
        <w:rPr>
          <w:rFonts w:ascii="Arial" w:hAnsi="Arial" w:eastAsia="Arial" w:cs="Arial"/>
          <w:sz w:val="24"/>
          <w:szCs w:val="24"/>
        </w:rPr>
        <w:t xml:space="preserve">Приложении Б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(справочное):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указания статьи "1113" дополнить указаниями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"1114 Единый налоговый платеж;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11141 Упрощённый порядок уплаты налогов;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11141100 Упрощённый порядок уплаты налогов";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указания элемента 14153200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"14153200 Учитываются сборы на обеспечение выполнения нормативов переработки отходов от использования товаров";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указания элемента 14224510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"14224510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указания элемента 14224520 дополнить указаниями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"14224530 Учитываются сборы на ремонт, содержание, строительство и реконструкцию автомобильных дорог - взнос, взимаемый с юридических или физических лиц, импортирующих на территорию Кыргызской Республики и/или производящих на территории Кыргызской Республи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ки бензин, дизельное топливо и т.д.;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14224540 Учитываются сборы за проезд по автомобильным дорогам общего пользования;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14224550 Учитываются сборы за проезд по искусственным сооружениям на автомобильных дорогах общего пользования.";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после указания элемента 14239900 дополнить указаниями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"1424 Учитываются поступления средств от иной деятельности;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 Учитываются поступления от производственно-хозяйственной деятельности;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14241100 Учитываются доходы, полученные от деятельности, связанной с производством товаров и работ;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14241200 Учитываются доходы, полученные от деятельности пансионатов, санаторий, домов отдыха и от гостиничного обслуживания;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14241300 Учитываются доходы, поступающие в результате продажи драгоценных металлов, камней и иных ценностей Государственного фонда;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14241400 Учитываются доходы, полученные от учреждений здравоохранения за выполнение работ, связанных с безопасным перемещением и уничтожением отходов медицинского назначения;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14241500 Учитываются поступления на содержание Дирекции в размере 2,9% от общего объема капитальных вложений на строительство водохозяйственных объектов, выплаченных государственными казначейскими обязательствами;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14241600 Поступления от реализации ценностей государственного материального резерва представляют собой доходы, полученные в результате продажи товаров и ресурсов, хранящихся в государственном резерве;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14241700 Учитываются доходы, полученные за предоставление специальной (государственной или ведомственной) курьерской связи, осуществляющей прием, перевозку и доставку предметов, грузов и письменных корреспонденций, а также официальную корреспонденцию с гри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фом "Особой важности", "Секретно", "Совершенно секретно";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14241800 Учитываются доходы, полученные от ведения вспомогательной хозяйственной деятельности, не являющейся основной для организации;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14241900 Учитываются прочие поступления от производственно-хозяйственной деятельности;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14242 Учитываются поступления от финансовой деятельности;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14242100 Учитываются доходы, полученные государственными или муниципальными органами от размещения временно свободных бюджетных средств в банковских депозитах, облигациях или других финансовых инструментах;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14242200 Учитываются средства, которые удерживаются из заработной платы, пенсии, пособий и иных доходов осужденных по исполнительным документам, предусмотренных законодательством;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14242300 Учитываются денежные поступления, которые образуются в результате возврата заемщиками ранее полученных займов, выданных за счет средств, находящихся на специальных счетах;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14242400 Взимается разовая комиссия за предоставление поручительства по принятым обязательствам за субъекта национальной экономики перед кредитором;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14242900 Учитываются прочие поступления от финансовой деятельности;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14243 Учитываются прочие поступления от другой деятельности;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14243100 Учитываются доходы, полученные за выполнение работ по договорам с заказчиками;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14243200 Учитываются денежные средства при поступлении, переводе и восстановлении в учебных заведениях, плата при поступлении в учебные заведения;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14243300 Учитываются денежные средства, полученные от студентов, сотрудников или иных лиц за проживание в общежитии, принадлежащем учебному заведению;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14243400 Учитываются доходы, полученные от проведения театральных, концертных, цирковых, развлекательных мероприятий, а также от показа кино и мультфильмов;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14243500 Учитываются доходы, полученные государственными средствами массовой информации (телевидение, радио, газеты, интернет-издания) от их деятельности;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14243600 Учитываются доходы, полученные от пользователей веб-сайта или онлайн-платформы, которые оплачивают подписку для доступа к контенту, услугам или функционалу;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14243700 Учитываются денежные средства, уплачиваемые за питание учащихся в детских садах, школах и других образовательных учреждениях;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14243900 Учитываются прочие поступления иных средств;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14249 Учитываются прочие поступления;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14249100 Учитываются добровольные финансовые взносы, которые делают физические или юридические лица (попечители) в пользу организации, учреждения или проекта с целью их поддержки и развития;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14249200 Учитываются доходы, которые государственные и муниципальные учреждения получают за оказание услуг другим государственным или муниципальным органам на основе заключенных договоров. Такие услуги могут быть предоставлены как на платной основе, так и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 рамках выполнения государственных или муниципальных обязательств;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14249300 Учитываются отчисления вышестоящих учреждений, установленных в соответствии с нормативно-правовыми актами и регулирующими финансовые взаимоотношения между уровнями государственными органами;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14249400 Учитываются отчисления между организациями, установленными в соответствии с нормативно-правовыми актами и регулирующими финансовые взаимоотношения между уровнями государственными органами;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14249500 Учитываются отчисления нижестоящих учреждений, установленных в соответствии с нормативно-правовыми актами и регулирующими финансовые взаимоотношения между уровнями государственными органами;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14249600 Учитываются отчисления от международных институтов для проведения совместной научно-исследовательской работы, предоставляются на безвозмездной и безвозвратной основе согласно заключенному договору/соглашению;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14249900 Учитываются прочие поступления, зачисляемые на специальные счета";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указания элемента 14511130 дополнить указанием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"14511140 Учитываются доходы, обращенные в пользу государства за счет прибыли от реализации государственных регистрационных номерных знаков с особенной комбинацией цифр и/или букв на автотранспортные средства.".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360"/>
        <w:ind/>
        <w:jc w:val="center"/>
        <w:rPr/>
      </w:pPr>
      <w:r>
        <w:rPr>
          <w:highlight w:val="none"/>
        </w:rPr>
      </w:r>
      <w:r>
        <w:rPr>
          <w:highlight w:val="none"/>
        </w:rPr>
      </w:r>
      <w:r/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7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8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9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70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Title Char"/>
    <w:basedOn w:val="837"/>
    <w:link w:val="841"/>
    <w:uiPriority w:val="10"/>
    <w:pPr>
      <w:pBdr/>
      <w:spacing/>
      <w:ind/>
    </w:pPr>
    <w:rPr>
      <w:sz w:val="48"/>
      <w:szCs w:val="48"/>
    </w:rPr>
  </w:style>
  <w:style w:type="character" w:styleId="677">
    <w:name w:val="Subtitle Char"/>
    <w:basedOn w:val="837"/>
    <w:link w:val="858"/>
    <w:uiPriority w:val="11"/>
    <w:pPr>
      <w:pBdr/>
      <w:spacing/>
      <w:ind/>
    </w:pPr>
    <w:rPr>
      <w:sz w:val="24"/>
      <w:szCs w:val="24"/>
    </w:rPr>
  </w:style>
  <w:style w:type="character" w:styleId="678">
    <w:name w:val="Quote Char"/>
    <w:link w:val="863"/>
    <w:uiPriority w:val="29"/>
    <w:pPr>
      <w:pBdr/>
      <w:spacing/>
      <w:ind/>
    </w:pPr>
    <w:rPr>
      <w:i/>
    </w:rPr>
  </w:style>
  <w:style w:type="character" w:styleId="679">
    <w:name w:val="Intense Quote Char"/>
    <w:link w:val="865"/>
    <w:uiPriority w:val="30"/>
    <w:pPr>
      <w:pBdr/>
      <w:spacing/>
      <w:ind/>
    </w:pPr>
    <w:rPr>
      <w:i/>
    </w:rPr>
  </w:style>
  <w:style w:type="paragraph" w:styleId="680">
    <w:name w:val="Header"/>
    <w:basedOn w:val="827"/>
    <w:link w:val="68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Header Char"/>
    <w:basedOn w:val="837"/>
    <w:link w:val="680"/>
    <w:uiPriority w:val="99"/>
    <w:pPr>
      <w:pBdr/>
      <w:spacing/>
      <w:ind/>
    </w:pPr>
  </w:style>
  <w:style w:type="paragraph" w:styleId="682">
    <w:name w:val="Footer"/>
    <w:basedOn w:val="827"/>
    <w:link w:val="684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3">
    <w:name w:val="Footer Char"/>
    <w:basedOn w:val="837"/>
    <w:link w:val="682"/>
    <w:uiPriority w:val="99"/>
    <w:pPr>
      <w:pBdr/>
      <w:spacing/>
      <w:ind/>
    </w:pPr>
  </w:style>
  <w:style w:type="character" w:styleId="684">
    <w:name w:val="Caption Char"/>
    <w:basedOn w:val="855"/>
    <w:link w:val="682"/>
    <w:uiPriority w:val="99"/>
    <w:pPr>
      <w:pBdr/>
      <w:spacing/>
      <w:ind/>
    </w:pPr>
  </w:style>
  <w:style w:type="table" w:styleId="685">
    <w:name w:val="Table Grid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Table Grid Light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1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2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Plain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Plain Table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1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2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3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 - Accent 5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6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1">
    <w:name w:val="footnote text"/>
    <w:basedOn w:val="827"/>
    <w:link w:val="81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2">
    <w:name w:val="Footnote Text Char"/>
    <w:link w:val="811"/>
    <w:uiPriority w:val="99"/>
    <w:pPr>
      <w:pBdr/>
      <w:spacing/>
      <w:ind/>
    </w:pPr>
    <w:rPr>
      <w:sz w:val="18"/>
    </w:rPr>
  </w:style>
  <w:style w:type="character" w:styleId="813">
    <w:name w:val="footnote reference"/>
    <w:basedOn w:val="837"/>
    <w:uiPriority w:val="99"/>
    <w:unhideWhenUsed/>
    <w:pPr>
      <w:pBdr/>
      <w:spacing/>
      <w:ind/>
    </w:pPr>
    <w:rPr>
      <w:vertAlign w:val="superscript"/>
    </w:rPr>
  </w:style>
  <w:style w:type="paragraph" w:styleId="814">
    <w:name w:val="endnote text"/>
    <w:basedOn w:val="827"/>
    <w:link w:val="81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5">
    <w:name w:val="Endnote Text Char"/>
    <w:link w:val="814"/>
    <w:uiPriority w:val="99"/>
    <w:pPr>
      <w:pBdr/>
      <w:spacing/>
      <w:ind/>
    </w:pPr>
    <w:rPr>
      <w:sz w:val="20"/>
    </w:rPr>
  </w:style>
  <w:style w:type="character" w:styleId="816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17">
    <w:name w:val="toc 1"/>
    <w:basedOn w:val="827"/>
    <w:next w:val="827"/>
    <w:uiPriority w:val="39"/>
    <w:unhideWhenUsed/>
    <w:pPr>
      <w:pBdr/>
      <w:spacing w:after="57"/>
      <w:ind w:right="0" w:firstLine="0" w:left="0"/>
    </w:pPr>
  </w:style>
  <w:style w:type="paragraph" w:styleId="818">
    <w:name w:val="toc 2"/>
    <w:basedOn w:val="827"/>
    <w:next w:val="827"/>
    <w:uiPriority w:val="39"/>
    <w:unhideWhenUsed/>
    <w:pPr>
      <w:pBdr/>
      <w:spacing w:after="57"/>
      <w:ind w:right="0" w:firstLine="0" w:left="283"/>
    </w:pPr>
  </w:style>
  <w:style w:type="paragraph" w:styleId="819">
    <w:name w:val="toc 3"/>
    <w:basedOn w:val="827"/>
    <w:next w:val="827"/>
    <w:uiPriority w:val="39"/>
    <w:unhideWhenUsed/>
    <w:pPr>
      <w:pBdr/>
      <w:spacing w:after="57"/>
      <w:ind w:right="0" w:firstLine="0" w:left="567"/>
    </w:pPr>
  </w:style>
  <w:style w:type="paragraph" w:styleId="820">
    <w:name w:val="toc 4"/>
    <w:basedOn w:val="827"/>
    <w:next w:val="827"/>
    <w:uiPriority w:val="39"/>
    <w:unhideWhenUsed/>
    <w:pPr>
      <w:pBdr/>
      <w:spacing w:after="57"/>
      <w:ind w:right="0" w:firstLine="0" w:left="850"/>
    </w:pPr>
  </w:style>
  <w:style w:type="paragraph" w:styleId="821">
    <w:name w:val="toc 5"/>
    <w:basedOn w:val="827"/>
    <w:next w:val="827"/>
    <w:uiPriority w:val="39"/>
    <w:unhideWhenUsed/>
    <w:pPr>
      <w:pBdr/>
      <w:spacing w:after="57"/>
      <w:ind w:right="0" w:firstLine="0" w:left="1134"/>
    </w:pPr>
  </w:style>
  <w:style w:type="paragraph" w:styleId="822">
    <w:name w:val="toc 6"/>
    <w:basedOn w:val="827"/>
    <w:next w:val="827"/>
    <w:uiPriority w:val="39"/>
    <w:unhideWhenUsed/>
    <w:pPr>
      <w:pBdr/>
      <w:spacing w:after="57"/>
      <w:ind w:right="0" w:firstLine="0" w:left="1417"/>
    </w:pPr>
  </w:style>
  <w:style w:type="paragraph" w:styleId="823">
    <w:name w:val="toc 7"/>
    <w:basedOn w:val="827"/>
    <w:next w:val="827"/>
    <w:uiPriority w:val="39"/>
    <w:unhideWhenUsed/>
    <w:pPr>
      <w:pBdr/>
      <w:spacing w:after="57"/>
      <w:ind w:right="0" w:firstLine="0" w:left="1701"/>
    </w:pPr>
  </w:style>
  <w:style w:type="paragraph" w:styleId="824">
    <w:name w:val="toc 8"/>
    <w:basedOn w:val="827"/>
    <w:next w:val="827"/>
    <w:uiPriority w:val="39"/>
    <w:unhideWhenUsed/>
    <w:pPr>
      <w:pBdr/>
      <w:spacing w:after="57"/>
      <w:ind w:right="0" w:firstLine="0" w:left="1984"/>
    </w:pPr>
  </w:style>
  <w:style w:type="paragraph" w:styleId="825">
    <w:name w:val="toc 9"/>
    <w:basedOn w:val="827"/>
    <w:next w:val="827"/>
    <w:uiPriority w:val="39"/>
    <w:unhideWhenUsed/>
    <w:pPr>
      <w:pBdr/>
      <w:spacing w:after="57"/>
      <w:ind w:right="0" w:firstLine="0" w:left="2268"/>
    </w:pPr>
  </w:style>
  <w:style w:type="paragraph" w:styleId="826">
    <w:name w:val="table of figures"/>
    <w:basedOn w:val="827"/>
    <w:next w:val="827"/>
    <w:uiPriority w:val="99"/>
    <w:unhideWhenUsed/>
    <w:pPr>
      <w:pBdr/>
      <w:spacing w:after="0" w:afterAutospacing="0"/>
      <w:ind/>
    </w:pPr>
  </w:style>
  <w:style w:type="paragraph" w:styleId="827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8">
    <w:name w:val="Heading 1"/>
    <w:basedOn w:val="827"/>
    <w:next w:val="827"/>
    <w:link w:val="846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9">
    <w:name w:val="Heading 2"/>
    <w:basedOn w:val="827"/>
    <w:next w:val="827"/>
    <w:link w:val="847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30">
    <w:name w:val="Heading 3"/>
    <w:basedOn w:val="827"/>
    <w:next w:val="827"/>
    <w:link w:val="848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31">
    <w:name w:val="Heading 4"/>
    <w:basedOn w:val="827"/>
    <w:next w:val="827"/>
    <w:link w:val="849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2">
    <w:name w:val="Heading 5"/>
    <w:basedOn w:val="827"/>
    <w:next w:val="827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3">
    <w:name w:val="Heading 6"/>
    <w:basedOn w:val="827"/>
    <w:next w:val="827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4">
    <w:name w:val="Heading 7"/>
    <w:basedOn w:val="827"/>
    <w:next w:val="827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5">
    <w:name w:val="Heading 8"/>
    <w:basedOn w:val="827"/>
    <w:next w:val="827"/>
    <w:link w:val="853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6">
    <w:name w:val="Heading 9"/>
    <w:basedOn w:val="827"/>
    <w:next w:val="827"/>
    <w:link w:val="854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table" w:styleId="83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9" w:default="1">
    <w:name w:val="No List"/>
    <w:uiPriority w:val="99"/>
    <w:semiHidden/>
    <w:unhideWhenUsed/>
    <w:pPr>
      <w:pBdr/>
      <w:spacing/>
      <w:ind/>
    </w:pPr>
  </w:style>
  <w:style w:type="paragraph" w:styleId="840" w:customStyle="1">
    <w:name w:val="Реквизит"/>
    <w:basedOn w:val="827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41">
    <w:name w:val="Title"/>
    <w:basedOn w:val="827"/>
    <w:link w:val="842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2" w:customStyle="1">
    <w:name w:val="Заголовок Знак"/>
    <w:basedOn w:val="837"/>
    <w:link w:val="841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3">
    <w:name w:val="Message Header"/>
    <w:basedOn w:val="827"/>
    <w:link w:val="844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4" w:customStyle="1">
    <w:name w:val="Шапка Знак"/>
    <w:basedOn w:val="837"/>
    <w:link w:val="843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5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6" w:customStyle="1">
    <w:name w:val="Заголовок 1 Знак"/>
    <w:basedOn w:val="837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7" w:customStyle="1">
    <w:name w:val="Заголовок 2 Знак"/>
    <w:basedOn w:val="837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8" w:customStyle="1">
    <w:name w:val="Заголовок 3 Знак"/>
    <w:basedOn w:val="837"/>
    <w:link w:val="830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9" w:customStyle="1">
    <w:name w:val="Заголовок 4 Знак"/>
    <w:basedOn w:val="837"/>
    <w:link w:val="831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50" w:customStyle="1">
    <w:name w:val="Заголовок 5 Знак"/>
    <w:basedOn w:val="837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51" w:customStyle="1">
    <w:name w:val="Заголовок 6 Знак"/>
    <w:basedOn w:val="837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2" w:customStyle="1">
    <w:name w:val="Заголовок 7 Знак"/>
    <w:basedOn w:val="837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3" w:customStyle="1">
    <w:name w:val="Заголовок 8 Знак"/>
    <w:basedOn w:val="837"/>
    <w:link w:val="83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4" w:customStyle="1">
    <w:name w:val="Заголовок 9 Знак"/>
    <w:basedOn w:val="837"/>
    <w:link w:val="83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5">
    <w:name w:val="Caption"/>
    <w:basedOn w:val="827"/>
    <w:next w:val="827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6">
    <w:name w:val="Signature"/>
    <w:basedOn w:val="827"/>
    <w:link w:val="857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7" w:customStyle="1">
    <w:name w:val="Подпись Знак"/>
    <w:basedOn w:val="837"/>
    <w:link w:val="856"/>
    <w:uiPriority w:val="99"/>
    <w:pPr>
      <w:pBdr/>
      <w:spacing/>
      <w:ind/>
    </w:pPr>
    <w:rPr>
      <w:rFonts w:ascii="Arial" w:hAnsi="Arial"/>
      <w:b/>
      <w:sz w:val="24"/>
    </w:rPr>
  </w:style>
  <w:style w:type="paragraph" w:styleId="858">
    <w:name w:val="Subtitle"/>
    <w:basedOn w:val="827"/>
    <w:next w:val="827"/>
    <w:link w:val="859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9" w:customStyle="1">
    <w:name w:val="Подзаголовок Знак"/>
    <w:basedOn w:val="837"/>
    <w:link w:val="858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60">
    <w:name w:val="Strong"/>
    <w:basedOn w:val="837"/>
    <w:uiPriority w:val="22"/>
    <w:semiHidden/>
    <w:qFormat/>
    <w:pPr>
      <w:pBdr/>
      <w:spacing/>
      <w:ind/>
    </w:pPr>
    <w:rPr>
      <w:b/>
      <w:bCs/>
    </w:rPr>
  </w:style>
  <w:style w:type="character" w:styleId="861">
    <w:name w:val="Emphasis"/>
    <w:basedOn w:val="837"/>
    <w:uiPriority w:val="20"/>
    <w:semiHidden/>
    <w:qFormat/>
    <w:pPr>
      <w:pBdr/>
      <w:spacing/>
      <w:ind/>
    </w:pPr>
    <w:rPr>
      <w:i/>
      <w:iCs/>
    </w:rPr>
  </w:style>
  <w:style w:type="paragraph" w:styleId="862">
    <w:name w:val="List Paragraph"/>
    <w:basedOn w:val="827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3">
    <w:name w:val="Quote"/>
    <w:basedOn w:val="827"/>
    <w:next w:val="827"/>
    <w:link w:val="864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4" w:customStyle="1">
    <w:name w:val="Цитата 2 Знак"/>
    <w:basedOn w:val="837"/>
    <w:link w:val="863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5">
    <w:name w:val="Intense Quote"/>
    <w:basedOn w:val="827"/>
    <w:next w:val="827"/>
    <w:link w:val="866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6" w:customStyle="1">
    <w:name w:val="Выделенная цитата Знак"/>
    <w:basedOn w:val="837"/>
    <w:link w:val="865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7">
    <w:name w:val="Subtle Emphasis"/>
    <w:basedOn w:val="837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8">
    <w:name w:val="Intense Emphasis"/>
    <w:basedOn w:val="837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9">
    <w:name w:val="Subtle Reference"/>
    <w:basedOn w:val="837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70">
    <w:name w:val="Intense Reference"/>
    <w:basedOn w:val="837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71">
    <w:name w:val="Book Title"/>
    <w:basedOn w:val="837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2">
    <w:name w:val="TOC Heading"/>
    <w:basedOn w:val="828"/>
    <w:next w:val="827"/>
    <w:uiPriority w:val="39"/>
    <w:semiHidden/>
    <w:qFormat/>
    <w:pPr>
      <w:pBdr/>
      <w:spacing/>
      <w:ind/>
      <w:outlineLvl w:val="9"/>
    </w:pPr>
  </w:style>
  <w:style w:type="paragraph" w:styleId="873">
    <w:name w:val="Normal Indent"/>
    <w:basedOn w:val="827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4">
    <w:name w:val="annotation text"/>
    <w:basedOn w:val="827"/>
    <w:link w:val="875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5" w:customStyle="1">
    <w:name w:val="Текст примечания Знак"/>
    <w:basedOn w:val="837"/>
    <w:link w:val="874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6" w:customStyle="1">
    <w:name w:val="Редакции"/>
    <w:basedOn w:val="827"/>
    <w:pPr>
      <w:pBdr/>
      <w:spacing w:after="240"/>
      <w:ind w:firstLine="0"/>
      <w:jc w:val="center"/>
    </w:pPr>
    <w:rPr>
      <w:i/>
      <w:iCs/>
    </w:rPr>
  </w:style>
  <w:style w:type="paragraph" w:styleId="877" w:customStyle="1">
    <w:name w:val="Таблица"/>
    <w:basedOn w:val="827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8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9">
    <w:name w:val="Balloon Text"/>
    <w:basedOn w:val="827"/>
    <w:link w:val="880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80" w:customStyle="1">
    <w:name w:val="Текст выноски Знак"/>
    <w:basedOn w:val="837"/>
    <w:link w:val="879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25872/ru#st_5" TargetMode="External"/><Relationship Id="rId10" Type="http://schemas.openxmlformats.org/officeDocument/2006/relationships/hyperlink" Target="https://cbd.minjust.gov.kg/112424/edition/25872/ru#st_9" TargetMode="External"/><Relationship Id="rId11" Type="http://schemas.openxmlformats.org/officeDocument/2006/relationships/hyperlink" Target="https://cbd.minjust.gov.kg/112424/edition/25872/ru#st_64" TargetMode="External"/><Relationship Id="rId12" Type="http://schemas.openxmlformats.org/officeDocument/2006/relationships/hyperlink" Target="https://cbd.minjust.gov.kg/8-180/edition/1134454/ru" TargetMode="External"/><Relationship Id="rId13" Type="http://schemas.openxmlformats.org/officeDocument/2006/relationships/hyperlink" Target="https://cbd.minjust.gov.kg/300740/edition/1265523/ru" TargetMode="External"/><Relationship Id="rId14" Type="http://schemas.openxmlformats.org/officeDocument/2006/relationships/hyperlink" Target="https://cbd.minjust.gov.kg/8-180/edition/1134454/ru" TargetMode="External"/><Relationship Id="rId15" Type="http://schemas.openxmlformats.org/officeDocument/2006/relationships/hyperlink" Target="https://cbd.minjust.gov.kg/300740/edition/1265523/ru" TargetMode="External"/><Relationship Id="rId16" Type="http://schemas.openxmlformats.org/officeDocument/2006/relationships/hyperlink" Target="https://cbd.minjust.gov.kg/300740/edition/1265523/ru" TargetMode="External"/><Relationship Id="rId17" Type="http://schemas.openxmlformats.org/officeDocument/2006/relationships/hyperlink" Target="https://cbd.minjust.gov.kg/8-180/edition/1134454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17</cp:revision>
  <dcterms:created xsi:type="dcterms:W3CDTF">2024-01-18T05:24:00Z</dcterms:created>
  <dcterms:modified xsi:type="dcterms:W3CDTF">2025-07-10T05:59:04Z</dcterms:modified>
</cp:coreProperties>
</file>