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30 июля 2025 года № 2025-П-15/38-1-(НПА)</w:t>
      </w:r>
      <w:r>
        <w:rPr>
          <w:i w:val="0"/>
          <w:iCs w:val="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</w:t>
      </w: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ПА)"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36280/ru#st_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36280/ru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36280/ru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следующие изменения в </w:t>
      </w:r>
      <w:hyperlink r:id="rId12" w:tooltip="https://cbd.minjust.gov.kg/8-676/edition/91425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3" w:tooltip="https://cbd.minjust.gov.kg/68-29/edition/1115214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4" w:tooltip="https://cbd.minjust.gov.kg/68-29/edition/1115214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 постановлением: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 дополнить абзацами восьмым и девятым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финансирование "зеленых" проектов;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финансирование женского предпринимательства.";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подпункте 1 пункта 5 слова "закупочные акты," исключить;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Требования к максимальному объему залогового обеспечения в виде прав требования по кредитам устанавливаются Правлением Национального банка по рекомендации Комитета денежно-кредитного регулирования или Комитета по надзору в соответствии с нормативными п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равовыми актами Национального банка и устанавливаются в процентном отношении к общему объему залогового обеспечения.";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15 дополнить подпунктом 3-1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"3-1) ценные бумаги международных финансовых организаций, выпущенные и размещенные на территории Кыргызской Республики при наличии у эмитента долгосрочного суверенного кредитного рейтинга не ниже наивысшего (ААА) и следующего за наивысшим (АА+), который пр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исвоен рейтинговыми агентствами Moody's Investors Service (США), Standard &amp; Poors (США), Fitch IBCA (Великобритания);".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Отделу "Секретариат Правления" в течение 3 (трех) рабочих дней со дня принятия настоящего постановления довести его до сведения соответствующих структурных подразделений, областных управлений и Представительства Национального банка Кыргызской Республики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в Баткенской области.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Управлению бухгалтерского учета и отчетности довести настоящее постановление до сведения коммерческих банков Кыргызской Республики, небанковских финансово-кредитных организаций, привлекающих депозиты.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2664"/>
        <w:gridCol w:w="243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4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-567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Исполняющий обязанности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-567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председателя 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9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 Аттокуров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36280/ru#st_5" TargetMode="External"/><Relationship Id="rId10" Type="http://schemas.openxmlformats.org/officeDocument/2006/relationships/hyperlink" Target="https://cbd.minjust.gov.kg/112424/edition/36280/ru#st_9" TargetMode="External"/><Relationship Id="rId11" Type="http://schemas.openxmlformats.org/officeDocument/2006/relationships/hyperlink" Target="https://cbd.minjust.gov.kg/112424/edition/36280/ru#st_64" TargetMode="External"/><Relationship Id="rId12" Type="http://schemas.openxmlformats.org/officeDocument/2006/relationships/hyperlink" Target="https://cbd.minjust.gov.kg/8-676/edition/914258/ru" TargetMode="External"/><Relationship Id="rId13" Type="http://schemas.openxmlformats.org/officeDocument/2006/relationships/hyperlink" Target="https://cbd.minjust.gov.kg/68-29/edition/1115214/ru" TargetMode="External"/><Relationship Id="rId14" Type="http://schemas.openxmlformats.org/officeDocument/2006/relationships/hyperlink" Target="https://cbd.minjust.gov.kg/68-29/edition/1115214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2025-09-16T04:51:38Z</dcterms:modified>
</cp:coreProperties>
</file>