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 w:right="0" w:firstLine="0" w:left="0"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>
        <w:rPr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32"/>
          <w:szCs w:val="32"/>
        </w:rPr>
      </w:pPr>
      <w:r>
        <w:rPr>
          <w:rFonts w:ascii="Arial" w:hAnsi="Arial" w:eastAsia="Arial" w:cs="Arial"/>
          <w:b/>
          <w:color w:val="000000"/>
          <w:sz w:val="32"/>
          <w:szCs w:val="32"/>
        </w:rPr>
        <w:t xml:space="preserve">ПОСТАНОВЛЕНИЕ ПРАВЛЕНИЯ НАЦИОНАЛЬНОГО БАНКА КЫРГЫЗСКОЙ РЕСПУБЛИКИ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 w:val="0"/>
          <w:iCs w:val="0"/>
          <w:color w:val="000000"/>
          <w:sz w:val="24"/>
          <w:szCs w:val="24"/>
        </w:rPr>
        <w:t xml:space="preserve">от 30 июля 2025 года № 2025-П-12/38-3-(НПА)</w:t>
      </w:r>
      <w:r>
        <w:rPr>
          <w:i w:val="0"/>
          <w:iCs w:val="0"/>
          <w:sz w:val="24"/>
          <w:szCs w:val="24"/>
        </w:rPr>
      </w:r>
      <w:r>
        <w:rPr>
          <w:rFonts w:ascii="Arial" w:hAnsi="Arial" w:eastAsia="Arial" w:cs="Arial"/>
          <w:bCs w:val="0"/>
          <w:i w:val="0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0" w:left="0"/>
        <w:jc w:val="left"/>
        <w:rPr>
          <w:rFonts w:ascii="Arial" w:hAnsi="Arial" w:eastAsia="Arial" w:cs="Arial"/>
          <w:bCs/>
          <w:i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i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Cs/>
          <w:i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8"/>
          <w:szCs w:val="28"/>
          <w:highlight w:val="none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 по вопросам торгового финансирования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  <w:r>
        <w:rPr>
          <w:rFonts w:ascii="Arial" w:hAnsi="Arial" w:eastAsia="Arial" w:cs="Arial"/>
          <w:b/>
          <w:color w:val="000000"/>
          <w:sz w:val="28"/>
          <w:szCs w:val="28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36280/ru#st_5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36280/ru#st_9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36280/ru#st_64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tooltip="#pr" w:anchor="pr" w:history="1">
        <w:r>
          <w:rPr>
            <w:rStyle w:val="878"/>
            <w:rFonts w:ascii="Arial" w:hAnsi="Arial" w:eastAsia="Arial" w:cs="Arial"/>
            <w:sz w:val="24"/>
            <w:szCs w:val="24"/>
          </w:rPr>
          <w:t xml:space="preserve">прилагаются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):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12" w:tooltip="https://cbd.minjust.gov.kg/46-989/edition/113993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</w:t>
      </w:r>
      <w:hyperlink r:id="rId13" w:tooltip="https://cbd.minjust.gov.kg/8-53/edition/113993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21 июля 2004 года № 18/3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14" w:tooltip="https://cbd.minjust.gov.kg/22-441/edition/105762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финансирования" </w:t>
      </w:r>
      <w:hyperlink r:id="rId15" w:tooltip="https://cbd.minjust.gov.kg/8-289/edition/56990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28 декабря 2009 года № 51/4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 некоторых нормативных правовых актах Национального банка Кыргызской Республики" </w:t>
      </w:r>
      <w:hyperlink r:id="rId16" w:tooltip="https://cbd.minjust.gov.kg/8-291/edition/88606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28 декабря 2009 года № 51/6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r>
        <w:rPr>
          <w:rFonts w:ascii="Arial" w:hAnsi="Arial" w:eastAsia="Arial" w:cs="Arial"/>
          <w:sz w:val="24"/>
          <w:szCs w:val="24"/>
        </w:rPr>
        <w:t xml:space="preserve">Инструкции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Республики" </w:t>
      </w:r>
      <w:r>
        <w:rPr>
          <w:rFonts w:ascii="Arial" w:hAnsi="Arial" w:eastAsia="Arial" w:cs="Arial"/>
          <w:sz w:val="24"/>
          <w:szCs w:val="24"/>
        </w:rPr>
        <w:t xml:space="preserve">от 12 октября 2022 года № 2022-П-12/63-1-(НПА)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регулятивной банковской отчетности" </w:t>
      </w:r>
      <w:r>
        <w:rPr>
          <w:rFonts w:ascii="Arial" w:hAnsi="Arial" w:eastAsia="Arial" w:cs="Arial"/>
          <w:sz w:val="24"/>
          <w:szCs w:val="24"/>
        </w:rPr>
        <w:t xml:space="preserve">от 19 июля 2023 года № 2023-П-10/43-5-(НПА)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Юридическому управлению: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Настоящее постановление вступает в силу с 1 января 2026 года, за исключением подпунктов 2 и 3 пункта 5 </w:t>
      </w:r>
      <w:hyperlink w:tooltip="#pr" w:anchor="pr" w:history="1">
        <w:r>
          <w:rPr>
            <w:rStyle w:val="878"/>
            <w:rFonts w:ascii="Arial" w:hAnsi="Arial" w:eastAsia="Arial" w:cs="Arial"/>
            <w:sz w:val="24"/>
            <w:szCs w:val="24"/>
          </w:rPr>
          <w:t xml:space="preserve">Приложения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 настоящему постановлению, которые вступают в силу со дня официального опубликования настоящего постановления.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методологии надзора в течение 3 (трех) рабочих дней со дня официального опубликования довести настоящее постановление до сведения коммерческих банков, небанковских финансово-кредитных организаций, ОЮЛ "Союз банков Кыргызстана", ОЮЛ "Ассоциаци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я микрофинансовых организаций", ОЮЛ "Национальная ассоциация кредитных союзов и кооперативов Кыргызстана", ОАО "Гарантийный фонд".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в течение 3 (трех) рабочих дней со дня принятия настоящего постановления довести его до сведения управления методологии надзора, управления банковского надзора, управления надзора за небанковскими организациями и юридическ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ого управления.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520"/>
        <w:gridCol w:w="4110"/>
        <w:gridCol w:w="3940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65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42"/>
              </w:tabs>
              <w:spacing w:after="0" w:line="229" w:lineRule="atLeast"/>
              <w:ind w:right="0" w:firstLine="0" w:left="-567"/>
              <w:rPr>
                <w:rFonts w:ascii="Arial" w:hAnsi="Arial" w:eastAsia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Исполняющий обязанности</w:t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tabs>
                <w:tab w:val="left" w:leader="none" w:pos="142"/>
              </w:tabs>
              <w:spacing w:after="0" w:line="229" w:lineRule="atLeast"/>
              <w:ind w:right="0" w:firstLine="0" w:left="-567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председателя </w:t>
            </w:r>
            <w:r>
              <w:rPr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1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940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after="0"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 Аттокуров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Start w:id="1" w:name="pr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</w:r>
            <w:bookmarkEnd w:id="1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br/>
              <w:t xml:space="preserve">к постановлению Правления Национального банка Кыргызской Республики</w:t>
              <w:br/>
              <w:t xml:space="preserve">от 30 июля 2025 года № 2025-П-12/38-3-(НПА)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/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  <w:br/>
        <w:t xml:space="preserve">в некоторые нормативные правовые акты Национального банка Кыргызской Республики по вопросам торгового финансирования</w:t>
      </w:r>
      <w:r>
        <w:rPr>
          <w:sz w:val="24"/>
          <w:szCs w:val="24"/>
        </w:rPr>
      </w:r>
      <w:r>
        <w:rPr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hyperlink r:id="rId17" w:tooltip="https://cbd.minjust.gov.kg/8-53/edition/113993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18" w:tooltip="https://cbd.minjust.gov.kg/46-989/edition/113993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убытков" от 21 июля 2004 года № 18/3 следующее изменение: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19" w:tooltip="https://cbd.minjust.gov.kg/46-989/edition/113993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убытков, утвержденном вышеуказанным </w:t>
      </w:r>
      <w:hyperlink r:id="rId20" w:tooltip="https://cbd.minjust.gov.kg/8-53/edition/1139933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12.1 дополнить абзацем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"Банки могут классифицировать забалансовые обязательства независимо от валюты выдачи в категории "нормальные", если они соответствуют условиям, указанным в подпункте 1 пункта 30 </w:t>
      </w:r>
      <w:r>
        <w:rPr>
          <w:rFonts w:ascii="Arial" w:hAnsi="Arial" w:eastAsia="Arial" w:cs="Arial"/>
          <w:sz w:val="24"/>
          <w:szCs w:val="24"/>
        </w:rPr>
        <w:t xml:space="preserve">Инструкции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Республики, утвержденной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от 12 октября 2022 года № 2022-П-12/63-1-(НПА).".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Внести в </w:t>
      </w:r>
      <w:hyperlink r:id="rId21" w:tooltip="https://cbd.minjust.gov.kg/8-289/edition/56990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22" w:tooltip="https://cbd.minjust.gov.kg/22-441/edition/105762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финансирования" от 28 декабря 2009 года № 51/4 следующее изменение: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3" w:tooltip="https://cbd.minjust.gov.kg/22-441/edition/105762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финансирования, утвержденной вышеуказанным </w:t>
      </w:r>
      <w:hyperlink r:id="rId24" w:tooltip="https://cbd.minjust.gov.kg/8-289/edition/56990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29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"29. Настоящей Инструкцией определяются следующие процентные размеры факторов кредитной конверсии для забалансовых обязательств: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фактор кредитной конверсии - 10%: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забалансовые обязательства, по которым банк имеет право безусловного отзыва/аннулирования в любое время без предварительного уведомления клиента;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фактор кредитной конверсии - 20% при соблюдении всех следующих условий одновременно: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срок забалансового обязательства не превышает один год;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забалансовое обязательство имеет прямую и непосредственную связь с поставкой или закупкой товаров или услуг в рамках международной торговли;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в) по своей природе забалансовое обязательство является самоликвидирующимся, и его погашение или исполнение обусловлено предоставлением документов, относящихся к базовой торговой сделке;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г) операция структурирована в соответствии с общепринятыми международными правилами и практикой в области торгового финансирования;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фактор кредитной конверсии - 50%: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забалансовые обязательства, связанные с конкретной сделкой (например, аккредитив, гарантирующий заказчику возмещение убытков при невыполнении подрядчиком своих обязательств в строительном проекте и другие подобные обязательства);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краткосрочные самоликвидирующиеся обязательства, связанные с торговыми операциями (например, документарный аккредитив, обеспеченный отгрузкой товаров);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фактор кредитной конверсии - 100%: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обязательства по предоставлению актива;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кредитные заменители (например, общие гарантии, резервные аккредитивы, гарантии по акцептованию), т.е. документы (независимо от названия), представляющие собой юридические обязательства банка по выплате средств третьей стороне, если клиент банка, от лиц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а которого выдана гарантия или выдан аккредитив, не может выплатить средства, выданные авансом третьей стороне по договорному соглашению или подобным образом;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в) соглашения о продаже с последующим выкупом и продажа активов с правом контрагента вернуть актив в определенных случаях;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г) обязательства по покупке активов;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д) прочие забалансовые обязательства, не вошедшие в предыдущие категории.".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Внести в </w:t>
      </w:r>
      <w:hyperlink r:id="rId25" w:tooltip="https://cbd.minjust.gov.kg/8-291/edition/88606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следующее изменение: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6" w:tooltip="https://cbd.minjust.gov.kg/46-3532/edition/1081338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финансирования, утвержденном вышеуказанным </w:t>
      </w:r>
      <w:hyperlink r:id="rId27" w:tooltip="https://cbd.minjust.gov.kg/8-291/edition/886067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42 дополнить абзацем следующего содержания: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"Банки могут классифицировать забалансовые обязательства независимо от валюты выдачи в категории "нормальные", если они соответствуют условиям фактора кредитной конверсии в размере 20%, указанным в пункте 29 </w:t>
      </w:r>
      <w:hyperlink r:id="rId28" w:tooltip="https://cbd.minjust.gov.kg/22-441/edition/1057622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финансирования, утвержденной </w:t>
      </w:r>
      <w:hyperlink r:id="rId29" w:tooltip="https://cbd.minjust.gov.kg/8-289/edition/569901/ru" w:history="1">
        <w:r>
          <w:rPr>
            <w:rStyle w:val="878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от 28 декабря 2009 г. № 51/4.".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Инструкции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Республики" от 12 октября 2022 года № 2022-П-12/63-1-(НПА) следующие изменения: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Инструкции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по определению стандартов достаточности (адекватности) капитала коммерческих банков Кыргызской Республики, утвержденной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пункт 30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"30. Настоящей </w:t>
      </w:r>
      <w:r>
        <w:rPr>
          <w:rFonts w:ascii="Arial" w:hAnsi="Arial" w:eastAsia="Arial" w:cs="Arial"/>
          <w:sz w:val="24"/>
          <w:szCs w:val="24"/>
        </w:rPr>
        <w:t xml:space="preserve">Инструкцией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определяются следующие процентные размеры факторов кредитной конверсии для забалансовых обязательств: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низкий риск (фактор кредитной конверсии - 20%) при соблюдении всех следующих условий одновременно: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срок забалансового обязательства не превышает один год;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забалансовое обязательство имеет прямую и непосредственную связь с поставкой или закупкой товаров или услуг в рамках международной торговли;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в) по своей природе забалансовое обязательство является самоликвидирующимся, и его погашение или исполнение обусловлено предоставлением документов, относящихся к базовой торговой сделке;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г) операция структурирована в соответствии с общепринятыми международными правилами и практикой в области торгового финансирования;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средний риск (фактор кредитной конверсии - 50%):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забалансовые обязательства, связанные с конкретной сделкой (например, аккредитив, гарантирующий заказчику возмещение убытков при невыполнении подрядчиком своих обязательств в строительном проекте и другие подобные обязательства);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краткосрочные самоликвидирующиеся обязательства, связанные с торговыми операциями (например, документарный аккредитив, обеспеченный отгрузкой товаров);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полный риск (фактор кредитной конверсии - 100%):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а) обязательства на выдачу кредитов;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б) прямые кредитные заменители (например, общие гарантии по кредитам, резервные аккредитивы, гарантии по акцептованию), т.е. документы (независимо от названия), представляющие собой юридические обязательства банка по выплате средств третьей стороне, если к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лиент банка, от лица которого выдана гарантия или выдан аккредитив, не может выплатить средства, выданные авансом третьей стороне по контрактному соглашению или подобным образом;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в) соглашения о продаже с последующим выкупом и продажа активов, с правом контрагента вернуть актив в определенных случаях;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г) обязательства по покупке активов;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д) все прочие забалансовые обязательства, не вошедшие в предыдущие категории.";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</w:t>
      </w:r>
      <w:r>
        <w:rPr>
          <w:rFonts w:ascii="Arial" w:hAnsi="Arial" w:eastAsia="Arial" w:cs="Arial"/>
          <w:sz w:val="24"/>
          <w:szCs w:val="24"/>
        </w:rPr>
        <w:t xml:space="preserve">Приложение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к Инструкции изложить в следующей редакции: </w:t>
      </w:r>
      <w:r>
        <w:rPr>
          <w:sz w:val="24"/>
          <w:szCs w:val="24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"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Приложение</w:t>
              <w:br/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 Инструкции по определению стандартов достаточности (адекватности) капитала коммерческих банков Кыргызской Республики, утвержденной постановлением Правления Национального банка Кыргызской Республики</w:t>
              <w:br/>
              <w:t xml:space="preserve">от 12 октября 2022 года № 2022-П-12/63-1-(НПА)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АКТИВЫ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873"/>
        <w:gridCol w:w="4277"/>
        <w:gridCol w:w="1056"/>
        <w:gridCol w:w="1728"/>
        <w:gridCol w:w="142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 балансу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Кредитный риск,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Взвешенное 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Банкноты и монеты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Денежные активы в расчетах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Корреспондентский счет в НБКР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Корреспондентские счета в коммерческих банках Кыргызской Республики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Корреспондентские счета в коммерческих банках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Корреспондентские счета в иностранных банках, кроме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Золото и другие драгоценные металлы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Межбанковские депозиты в коммерческих банках Кыргызской Республики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Межбанковские депозиты в банках и финансовых организациях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Межбанковские депозиты в иностранных банках и финансовых организациях, кроме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Краткосрочные межбанковские размещения до 7 дней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Операции по РЕПО-соглашениям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ПОРТФЕЛЬ ЦЕННЫХ БУМАГ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873"/>
        <w:gridCol w:w="4277"/>
        <w:gridCol w:w="1056"/>
        <w:gridCol w:w="1728"/>
        <w:gridCol w:w="142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 балансу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Кредитный риск,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Взвешенное 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Ценные бумаги, выпущенные правительством КР и/или НБКР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Ценные бумаги, выпущенные местными органами власти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Ценные бумаги, выпущенные Правительствами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Ценные бумаги, выпущенные иностранными правительствами стран, кроме правительств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Долговые ценные бумаги кыргызских компаний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Долговые ценные бумаги компаний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Долговые ценные бумаги иностранных компаний, кроме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Капитальные ценные бумаги кыргызских компаний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Капитальные ценные бумаги банков и других финансово-кредитных организаций КР (менее 20%)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Капитальные ценные бумаги компаний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Капитальные ценные бумаги банков и других финансово-кредитных организаций стран СНГ (менее 20%)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Капитальные ценные бумаги компаний КР и стран СНГ, не подлежащие амортизации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Капитальные ценные бумаги банков и других финансово-кредитных организаций КР и стран СНГ, не подлежащие амортизации (менее 20%)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Капитальные ценные бумаги иностранных компаний, кроме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Капитальные ценные бумаги иностранных банков и других финансово-кредитных организаций, кроме стран СНГ (менее 20%)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КРЕДИТЫ И ЛИЗИНГИ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873"/>
        <w:gridCol w:w="4277"/>
        <w:gridCol w:w="1056"/>
        <w:gridCol w:w="1728"/>
        <w:gridCol w:w="142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 балансу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Кредитный риск,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Взвешенное 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банкам Кыргызской Республики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банкам и финансовым организациям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иностранным банкам и финансовым организациям, кроме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негосударственному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физическим лицам для личных целей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Ипотечные кредиты 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Ипотечные кредиты негосударственному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Ипотечные кредиты физическим лицам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на строительство 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на строительство негосударственному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на строительство физическим лицам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Кредиты на капитальную аренду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Финансирование, предоставленное по договорам мушарака, мудараба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Основные средства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Прочая собственность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Инвестиции и финансовое участие в неконсолидированных банках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Инвестиции и финансовое участие в неконсолидированных финансовых организациях, кроме банков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Инвестиции и финансовое участие в неконсолидированных нефинансовых организациях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Начисленные проценты к получению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активы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Нематериальные активы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Остальная часть прочих активов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балансовых активов (сумма ст.10-430)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по категории 1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по категории 1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по категории 2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по категории 3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по категории 4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по категории 5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по категории 6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по категории 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по категории 8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по категории 9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539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вычетов из капитала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2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2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ЗАБАЛАНСОВЫЕ ОБЯЗАТЕЛЬСТВА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875"/>
        <w:gridCol w:w="3130"/>
        <w:gridCol w:w="1024"/>
        <w:gridCol w:w="1436"/>
        <w:gridCol w:w="1417"/>
        <w:gridCol w:w="147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 балансу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Фактор кредитной конверсии,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Кредитный риск,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Взвешенное 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на выдачу кредитов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Общие гарантии по кредитам и ценным бумагам, резервные аккредитивы и гарантии по акцептованию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Обязательства, связанные с торговыми сделками в рамках международной торговли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Обязательства, связанные с конкретными сделками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Прочие обязательства, связанные с торговыми сделками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Соглашения о продаже с последующим выкупом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 по покупке активов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Обязательства, по которым банк имеет право безусловного отзыва/аннулирования в любое время без предварительного уведомления клиента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Валютные операции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менее 1 года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1 года до 2 лет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600.2.1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600.2.2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 каждый следующий год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600.3.1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600.3.2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Операции с процентной ставкой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менее 1 года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от 1 года до 2 лет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610.2.1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610.2.2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на каждый следующий год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610.3.1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610.3.2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забалансовые обязательства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забалансовых обязательств (сумма ст.540-620)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специальных резервов на покрытие потенциальных и лизинговых потерь и убытков (далее - специальный резерв на покрытие убытков)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Специальный резерв на покрытие убытков по балансовым активам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Специальный резерв на покрытие убытков по забалансовым обязательствам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13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балансовых активов и забалансовых обязательств, взвешенных по степени риска, за вычетом резервов на покрытие убытков (ст.440 плюс ст.630 минус 640)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2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СУБОРДИНИРОВАННЫЙ ДОЛГ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49"/>
        <w:gridCol w:w="4404"/>
        <w:gridCol w:w="1272"/>
        <w:gridCol w:w="893"/>
        <w:gridCol w:w="223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По балансу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Доля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Взвешенное 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Бессрочный субординированный долг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3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 оставшимся сроком погашения более 5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 оставшимся сроком погашения от 4 до 5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 оставшимся сроком погашения от 3 до 4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 оставшимся сроком погашения от 2 до 3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 оставшимся сроком погашения от 1 до 2 лет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 оставшимся сроком погашения менее 1 года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3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4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4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27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9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23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КАПИТАЛ И КОЭФФИЦИЕНТЫ ДОСТАТОЧНОСТИ (АДЕКВАТНОСТИ) КАПИТАЛА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647"/>
        <w:gridCol w:w="7857"/>
        <w:gridCol w:w="85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 Первого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Базовый капитал Первого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Простые акции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Привилегированные некуммулятивные акции (приемлемые для включения в Базовый капитал Первого уровня)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Капитал, внесенный сверх номинала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Резервы для будущих потребностей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Нераспределенная прибыль (убытки) прошлых лет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Убытки текущего года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Нематериальные активы (ст.430.1)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Инвестиции в неконсолидированные банки, финансово-кредитные организации и небанковские финансово-кредитные организации (ст. 200.1, 210.1, 220.1, 230.1, ст.390, ст.400)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Отсроченные налоговые активы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Прямые или косвенные инвестиции в собственные акции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Базовый капитал Первого уровня (сумма ст.740-830)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Дополнительный капитал Первого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Дополнительный капитал, внесенный физическими и юридическими лицами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Привилегированные акции (неприемлемые для включения в Базовый капитал Первого уровня) и сумма, внесенная выше их номинальной стоимости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Другие инструменты капитала (ст.660)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Прямые или косвенные инвестиции в свой собственный Дополнительный капитал Первого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Инвестиции в Дополнительный капитал Первого уровня неконсолидированных банков и капитал финансово-кредитных организаций и нефинансовых организаций (если применимо)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Дополнительный капитал Первого уровня (сумма ст.820-860)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капитал Первого уровня (сумма ст.840 и ст.900)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 Второго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Прибыль текущего года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Общие резервы (приемлемые для включения)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Резервы по переоценке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Резервы по пересчету иностранной валюты при консолидации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 на выравнивание прибыли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Резерв на покрытие рисков по инвестициям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Часть инструментов капитала и долговых инструментов, которая может быть включена в состав Капитала Второго уровня с разрешения Национального банка по письменному заявлению совета директоров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Разница между ценой продажи акций, включенных в Капитал Второго уровня (не включенных в Капитал Первого уровня), и их номинальной стоимостью по результатам эмиссии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Прямые или косвенные инвестиции в свой собственный Капитал Второго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Инвестиции в Капитал Второго уровня неконсолидированных банков и капитал финансово-кредитных организаций и нефинансовых организаций (если применимо)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Капитал Второго уровня (сумма ст.920-1010)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Всего чистый суммарный капитал (сумма ст.910 и ст.1020)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Коэффициент достаточности (адекватности) суммарного капитала (ст.1030/ст.650)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Коэффициент достаточности (адекватности) капитала Первого уровня (ст.910/ст.650)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Коэффициент достаточности (адекватности) Базового капитала Первого уровня (ст.840/ст.650)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bottom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Справочно: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47" w:type="dxa"/>
            <w:vAlign w:val="bottom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857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Собственные средства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50" w:type="dxa"/>
            <w:vAlign w:val="center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регулятивной банковской отчетности" от 19 июля 2023 года № 2023-П-10/43-5-(НПА) следующие изменения: в </w:t>
      </w:r>
      <w:r>
        <w:rPr>
          <w:rFonts w:ascii="Arial" w:hAnsi="Arial" w:eastAsia="Arial" w:cs="Arial"/>
          <w:sz w:val="24"/>
          <w:szCs w:val="24"/>
        </w:rPr>
        <w:t xml:space="preserve">Положении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регулятивной банковской отчетности", утвержденном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 1) </w:t>
      </w:r>
      <w:r>
        <w:rPr>
          <w:rFonts w:ascii="Arial" w:hAnsi="Arial" w:eastAsia="Arial" w:cs="Arial"/>
          <w:sz w:val="24"/>
          <w:szCs w:val="24"/>
        </w:rPr>
        <w:t xml:space="preserve">Приложение 2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отчета "Раздел 4. Пруденциальные отчеты. Подраздел 4.1.1. Взвешивание по степени кредитного риска" изложить в следующей редакции: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both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right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"2-тиркеме/</w:t>
            </w:r>
            <w:r>
              <w:rPr>
                <w:rFonts w:ascii="Arial" w:hAnsi="Arial" w:eastAsia="Arial" w:cs="Arial"/>
                <w:sz w:val="24"/>
                <w:szCs w:val="24"/>
              </w:rPr>
              <w:t xml:space="preserve">Приложение 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784"/>
        <w:gridCol w:w="5570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Отчет/Отчет: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4-бөлүк. Пруденциалдык отчеттор. 4.1.1-бөлүкчө. Кредиттик тобокелдик деңгээли боюнча баалоо/</w:t>
              <w:br/>
              <w:t xml:space="preserve">Раздел 4. Пруденциальные отчеты. Подраздел 4.1.1. Взвешивание по степени кредитного риска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Субъекттин аталышы/Наименование субъекта: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Карата/По состоянию на: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Мезгилдүүлүгү/Периодичность: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Ежемесячно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78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Примечание: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57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АКТИВДЕР/АКТИВЫ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817"/>
        <w:gridCol w:w="4312"/>
        <w:gridCol w:w="1039"/>
        <w:gridCol w:w="1712"/>
        <w:gridCol w:w="147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Статьялар/Статьи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Баланс боюнча/</w:t>
              <w:br/>
              <w:t xml:space="preserve">По балансу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Кредиттик тобокелдик %/</w:t>
              <w:br/>
              <w:t xml:space="preserve">Кредитный риск,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Бааланган мааниси/</w:t>
              <w:br/>
              <w:t xml:space="preserve">Взвешенное 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Банкноттор жана монеталар/Банкноты и монеты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Эсептөөдөгү акча активдери/Денежные активы в расчетах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Улуттук банктагы корреспонденттик эсеп/Корреспондентский счет в НБКР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Кыргыз Республикасындагы коммерциялык банктардагы корреспонденттик эсептер/Корреспондентские счета в коммерческих банках Кыргызской Республики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өлкөлөрүнүн коммерциялык банктарындагы корреспонденттик эсептер/Корреспондентские счета в коммерческих банках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өлкөлөрүнөн тышкары, чет өлкө банктарындагы корреспонденттик эсептер/Корреспондентские счета в иностранных банках, кроме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Алтын жана башка баалуу металлдар/Золото и другие драгоценные металлы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Кыргыз Республикасынын коммерциялык банктарындагы банктар аралык депозиттер/Межбанковские депозиты в коммерческих банках Кыргызской Республики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өлкөлөрүнүн банктарындагы жана финансы уюмдарындагы банктар аралык депозиттер/Межбанковские депозиты в банках и финансовых организациях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өлкөлөрүнөн тышкары, банктардагы жана финансы уюмдарындагы банктар аралык депозиттер/Межбанковские депозиты в иностранных банках и финансовых организациях, кроме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 күнгө чейинки кыска мөөнөттүү банктар аралык жайгаштыруулар/Краткосрочные межбанковские размещения до 7 дней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110.5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РЕПО макулдашуулар боюнча операциялар/Операции по РЕПО-соглашениям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12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3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1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БААЛУУ КАГАЗДАР ПОРТФЕЛИ/ПОРТФЕЛЬ ЦЕННЫХ БУМАГ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706"/>
        <w:gridCol w:w="4296"/>
        <w:gridCol w:w="1066"/>
        <w:gridCol w:w="1809"/>
        <w:gridCol w:w="1479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Статьялар/Статьи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Баланс боюнча/</w:t>
              <w:br/>
              <w:t xml:space="preserve">По балансу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Кредиттик тобокелдик %/</w:t>
              <w:br/>
              <w:t xml:space="preserve">Кредитный риск,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Бааланган мааниси/</w:t>
              <w:br/>
              <w:t xml:space="preserve">Взвешенное 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Кыргыз Республикасынын Өкмөтү жана/же Улуттук банк тарабынан чыгарылган баалуу кагаздар/Ценные бумаги, выпущенные правительством КР и/или НБКР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130.5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Жергиликтүү бийлик органдары тарабынан чыгарылган баалуу кагаздар/Ценные бумаги, выпущенные местными органами власти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140.5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өлкөлөрүнүн өкмөттөрү тарабынан чыгарылган баалуу кагаздар/Ценные бумаги, выпущенные правительствами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өлкөлөрүнүн өкмөттөрүнөн тышкары,чет өлкөлөрдүн өкмөттөрү тарабынан чыгарылган баалуу кагаздар/Ценные бумаги, выпущенные иностранными правительствами стран, кроме правительств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160.5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Кыргызстандын компанияларынын карыздык баалуу кагаздары/Долговые ценные бумаги кыргызских компаний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170.5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өлкөлөрүнүн компанияларынын карыздык баалуу кагаздары/Долговые ценные бумаги компаний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180.5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өлкөлөрүнөн тышкары, чет өлкөлүк компаниялардын карыздык баалуу кагаздары/Долговые ценные бумаги иностранных компаний, кроме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190.5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Кыргызстандын компанияларынын капиталдык баалуу кагаздары/Капитальные ценные бумаги кыргызских компаний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Кыргыз Республикасынын банктарынын жана башка финансы-кредит уюмдарынын капиталдык баалуу кагаздары/Капитальные ценные бумаги банков и других финансово-кредитных организаций КР (менее 20%)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Капиталдын эсебинен чыгаруу/Вычет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өлкөлөрүнүн компанияларынын капиталдык баалуу кагаздары/Капитальные ценные бумаги компаний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өлкөлөрүнүн банктарынын жана башка финансы-кредит уюмдарынын капиталдык баалуу кагаздары/Капитальные ценные бумаги банков и других финансово-кредитных организаций стран СНГ (менее 20%)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Капиталдын эсебинен чыгаруу/Вычет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210.6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Кыргыз Республикасынын жана КМШ өлкөлөрүнүн компанияларынын амортизацияланбаган капиталдык баалуу кагаздары/ Капитальные ценные бумаги компаний КР и стран СНГ, не подлежащие амортизации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Кыргыз Республикасынын жана КМШ өлкөлөрүнүн банктарынын жана башка финансы-кредит уюмдарынын амортизацияланбаган капиталдык баалуу кагаздары (20%дан аз)/Капитальные ценные бумаги банков и других финансово-кредитных организаций КР и стран СНГ, не подлежащие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амортизации (менее 20%)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Капиталдын эсебинен чыгаруу/Вычет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220.6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өлкөлөрүнөн тышкары, чет өлкөлүк компаниялардын капиталдык баалуу кагаздары/Капитальные ценные бумаги иностранных компаний, кроме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өлкөлөрүнөн тышкары, чет өлкө банктарынын жана башка финансы-кредит уюмдарынын капиталдык баалуу кагаздары (20%дан аз)/Капитальные ценные бумаги иностранных банков и других финансово-кредитных организаций, кроме стран СНГ (менее 20%)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Капиталдын эсебинен чыгаруу/Вычет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230.6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9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баалуу кагаздардын калган бөлүгү/Остальная часть капитальных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6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0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79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КРЕДИТТЕР ЖАНА ЛИЗИНГДЕР/КРЕДИТЫ И ЛИЗИНГИ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704"/>
        <w:gridCol w:w="4154"/>
        <w:gridCol w:w="1088"/>
        <w:gridCol w:w="1901"/>
        <w:gridCol w:w="150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Статьялар/Статьи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Баланс боюнча/</w:t>
              <w:br/>
              <w:t xml:space="preserve">По балансу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Кредиттик тобокелдик, %/</w:t>
              <w:br/>
              <w:t xml:space="preserve">Кредитный риск,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Бааланган мааниси/</w:t>
              <w:br/>
              <w:t xml:space="preserve">Взвешенное 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Кыргыз Республикасынын банктарына берилген кредиттер/Кредиты банкам Кыргызской Республики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240.8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өлкөлөрүнүн банктарына жана финансы уюмдарына берилген кредиттер/Кредиты банкам и финансовым организациям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250.8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КМШ өлкөлөрүнөн тышкары, чет өлкө банктарына жана финансы уюмдарына берилген кредиттер/Кредиты иностранным банкам и финансовым организациям, кроме стран СНГ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260.8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Мамлекеттик секторго берилген кредиттер/Кредиты 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270.6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Мамлекеттик эмес секторго кредиттер/Кредиты негосударственному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280.8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Жеке адамдарга жеке максат үчүн берилген кредиттер/Кредиты физическим лицам для личных целей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290.8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Мамлекеттик секторго берилген ипотекалык кредиттер/Ипотечные кредиты 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Мамлекеттик эмес секторго берилген ипотекалык кредиттер/Ипотечные кредиты негосударственному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310.4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Жеке адамдарга берилген ипотекалык кредиттер/Ипотечные кредиты физическим лицам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320.5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Мамлекеттик секторго курулушка берилген кредиттер/Кредиты на строительство 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330.6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Мамлекеттик эмес секторго курулушка берилген кредиттер/Кредиты на строительство негосударственному сектору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340.8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Жеке адамдарга курулушка берилген кредиттер/Кредиты на строительство физическим лицам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350.8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Капиталдык ижарага берилген кредиттер/Кредиты на капитальную аренду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Мушарака, мудараба келишимдери боюнча сунушталган каржылоо/Финансирование, предоставленное по договорам мушарака, мудараба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361.9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Негизги каражаттар/Основные средства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Банктын башка менчиги/Прочая собственность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Консолидацияланбаган банктарга инвестициялар жана финансылык катышуу/Инвестиции и финансовое участие в неконсолидированных банках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Капиталдын эсебинен чыгаруу/Вычет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Банктардан тышкары, консолидацияланбаган финансылык уюмдарга инвестициялар жана финансылык каржылоо/Инвестиции и финансовое участие в неконсолидированных финансовых организациях, кроме банков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Капиталдын эсебинен чыгаруу/Вычет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Консолидацияланбаган финансылык эмес уюмдарга инвестициялар жана финансылык каржылоо/Инвестиции и финансовое участие в неконсолидированных нефинансовых организациях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Алууга чегерилген пайыздар/Начисленные проценты к получению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420.9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Башка активдер/Прочие активы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Материалдык эмес активдер/Нематериальные активы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Капиталдын эсебинен чыгаруу/Вычет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Башка активдердин калган бөлүгү/Остальная часть прочих активов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430.7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баланстык активдер (10-430 статьялардын суммасы)/</w:t>
              <w:br/>
              <w:t xml:space="preserve">ВСЕГО балансовых активов (сумма ст.10-430)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1-категория боюнча/Всего по категории 1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2-категория боюнча/Всего по категории 2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3-категория боюнча/Всего по категории 3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4-категория боюнча/Всего по категории 4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5-категория боюнча/Всего по категории 5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6-категория боюнча/Всего по категории 6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7-категория боюнча/Всего по категории 7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8-категория боюнча/Всего по категории 8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9-категория боюнча/Всего по категории 9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0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539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5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капиталдын эсебинен чыгарылгандар/Всего вычетов из капитала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8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0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50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БАЛАНСТАН ТЫШКАРКЫ МИЛДЕТТЕНМЕЛЕР/ЗАБАЛАНСОВЫЕ ОБЯЗАТЕЛЬСТВА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736"/>
        <w:gridCol w:w="4577"/>
        <w:gridCol w:w="977"/>
        <w:gridCol w:w="1647"/>
        <w:gridCol w:w="1417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Статьялар/Статьи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Баланс боюнча/</w:t>
              <w:br/>
              <w:t xml:space="preserve">По балансу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Кредиттик конверсия фактору, %/</w:t>
              <w:br/>
              <w:t xml:space="preserve">Фактор кредитной конверсии,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Кредиттик тобокелдик, %/</w:t>
              <w:br/>
              <w:t xml:space="preserve">Кредитный риск,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Кредиттерди берүүгө милдеттенмелер/Обязательства на выдачу кредитов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540.5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Кредиттер жана баалуу кагаздар боюнча жалпы гарантиялар, резервдеги аккредитивдер жана акцепттөө боюнча гарантиялар/Общие гарантии по кредитам и ценным бумагам, резервные аккредитивы и гарантии по акцептованию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Обязательства, связанные с торговыми сделками в рамках международной торговли/Эл аралык сооданын алкагындагы соода бүтүмдөрүнө байланыштуу милдеттенмелер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551.5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Белгилүү бир бүтүмдөргө байланыштуу милдеттенмелер/Обязательства, связанные с конкретными сделками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560.5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Соода бүтүмдөрүнө байланыштуу башка милдеттенмелер/Прочие обязательства, связанные с торговыми сделками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570.5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Кийинчерээк сатып алуу шартында сатуу жөнүндө макулдашуулар/Соглашения о продаже с последующим выкупом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580.5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Активдерди сатып алуу боюнча милдеттенмелер/Обязательства по покупке активов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590.5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Обязательства, по которым банк имеет право безусловного отзыва/аннулирования в любое время без предварительного уведомления клиента/Кардарга алдын ала билдирүүсүз банктын каалаган убакта шартсыз кайтарып алууга/жокко чыгарууга укук берген милдеттенмелери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591.5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Валюталык операциялар/Валютные операции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 жылдан аз/менее 1 года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 жылдан 2 жылга чейин/от 1 года до 2 лет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600.2.1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600.2.2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ар бир кийинки жыл үчүн/на каждый следующий год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600.3.1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600.3.2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Пайыздык чен менен операциялар/Операции с процентной ставкой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 жылдан аз/менее 1 года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0,5%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 жылдан 2 жылга чейин/от 1 года до 2 лет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610.2.1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610.2.2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ар бир кийинки жыл үчүн/на каждый следующий год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610.3.1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610.3.2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Баланстан тышкаркы башка милдеттенмелер/Другие забалансовые обязательства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620.1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620.2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620.3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баланстан тышкаркы милдеттенмелер (540-620-ст. суммасы)/</w:t>
              <w:br/>
              <w:t xml:space="preserve">ВСЕГО забалансовых обязательств (сумма ст.540-620)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потенциалдуу жана лизингдик жоготуулардын жана чыгымдардын ордун жабууга атайын кам (мындан ары - чыгымдардын ордун жабууга атайын кам)/Всего специальных резервов на покрытие потенциальных и лизинговых потерь и убытков (далее - специальный ре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зерв на покрытие убытков)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640.1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Баланстык активдер боюнча чыгымдардын ордун жабууга атайын резерв/Специальный резерв на покрытие убытков по балансовым активам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640.2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Баланстан тышкаркы милдеттенмелер боюнча чыгымдардын ордун жабууга атайын резерв/Специальный резерв на покрытие убытков по забалансовым обязательствам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3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577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чыгымдын ордун жабууга камды эсептен чыгаруу менен тобокелдик деңгээли боюнча өлчөнгөн баланстык активдер жана баланстан тышкаркы милдеттенмелер (440-ст.плюс 630-ст. минус 640)/</w:t>
              <w:br/>
              <w:t xml:space="preserve">ВСЕГО балансовых активов и забалансовых обязательств, взвешенных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по степени риска, за вычетом резервов на покрытие убытков (ст.440 плюс ст.630 минус ст.640)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7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4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7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СУБОРДИНАЦИЯЛАНГАН КАРЫЗ/СУБОРДИНИРОВАННЫЙ ДОЛГ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421"/>
        <w:gridCol w:w="4371"/>
        <w:gridCol w:w="1400"/>
        <w:gridCol w:w="1090"/>
        <w:gridCol w:w="2073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Статьялар/Статьи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Баланс боюнча/</w:t>
              <w:br/>
              <w:t xml:space="preserve">По балансу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Үлүшү %/</w:t>
              <w:br/>
              <w:t xml:space="preserve">Доля 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Бааланган мааниси/</w:t>
              <w:br/>
              <w:t xml:space="preserve">Взвешенное 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Мөөнөтсүз субординацияланган карыз/Бессрочный субординированный долг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5 жылдан ашык калган төлөө мөөнөтү менен/С оставшимся сроком погашения более 5 лет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 жылдан 5 жылга чейинки калган төлөө мөөнөтү менен/С оставшимся сроком погашения от 4 до 5 лет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 жылдан 4 жылга чейинки калган төлөө мөөнөтү менен/С оставшимся сроком погашения от 3 до 4 лет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 жылдан 3 жылга чейинки калган төлөө мөөнөтү менен/С оставшимся сроком погашения от 2 до 3 лет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 жылдан 2 жылга чейинки калган төлөө мөөнөтү менен/С оставшимся сроком погашения от 1 до 2 лет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 жылга чейинки калган төлөө мөөнөтү менен/С оставшимся сроком погашения менее 1 года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73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2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37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болуп/Всего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9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07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КАПИТАЛ ЖАНА КАПИТАЛДЫН ШАЙКЕШТИГИНИН КОЭФФИЦИЕНТТЕРИ/ КАПИТАЛ И КОЭФФИЦИЕНТЫ АДЕКВАТНОСТИ КАПИТАЛА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581"/>
        <w:gridCol w:w="8015"/>
        <w:gridCol w:w="758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Статьялар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Сумма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Биринчи деңгээлдеги Капитал/Капитал Первого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Биринчи деңгээлдеги базалык капитал/Базовый капитал Первого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Жөнөкөй акциялар/Простые акции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Артыкчылыктуу куммулятивдик эмес акциялар (Биринчи деңгээлдеги базалык капиталга кошуу үчүн алгылыктуу)/Привилегированные некуммулятивные акции (приемлемые для включения в Базовый капитал Первого уровня)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Номиналдан үстөк салынган капитал/Капитал, внесенный сверх номинала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Банктык келечектеги керектөөлөрү үчүн кам/Резервы для будущих потребностей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Өткөн жылдардын бөлүштүрүлбөгөн пайдасы (чыгымы)/Нераспределенная прибыль (убытки) прошлых лет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Өткөн жылдардын чыгымы/(-) Убытки текущего года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Материалдык эмес активдер (430.1-ст.)/(-) Нематериальные активы (ст.430.1)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Консолидацияланбаган банктарга, финансы-кредит уюмдарына жана банк эмес финансы-кредит уюмдарына инвестициялар (200.1, 210.1, 220.1, 230.1-ст., 390-ст., 400-ст.)/(-) Инвестиции в неконсолидированные банки, финансово-кредитные организации и небанковские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 финансово - кредитные организации (ст. 200.1, 210.1, 220.1, 230.1, ст.390, ст.400)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Мөөнөтү жылдырылган салыктык активдер/(-) Отсроченные налоговые активы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Банктын өздүк акцияларына тике же кыйыр инвестициялар/(-) Прямые или косвенные инвестиции в собственные акции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Биринчи деңгээлдеги базалык капитал (740-830-ст. суммасы)/Всего Базовый капитал Первого уровня (сумма ст.740-830)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Биринчи деңгээлдеги кошумча капитал/Дополнительный капитал Первого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Жеке адамдар жана юридикалык жактар тарабынан салынган кошумча капитал/Дополнительный капитал, внесенный физическими и юридическими лицами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Артыкчылыктуу (Биринчи деңгээлдеги базалык капиталга кошуу үчүн алгылыктуу) акциялар жана алардын номиналдык наркынан ашык салынган сумма/Привилегированные акции (неприемлемые для включения в Базовый капитал Первого уровня) и сумма, внесенная выше их номин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альной стоимости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Капиталдын башка инструменттери (660-ст.)/Другие инструменты капитала (ст.660)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Биринчи деңгээлдеги өздүк кошумча капиталга тике же кыйыр инвестициялар/(-) Прямые или косвенные инвестиции в свой собственный Дополнительный капитал Первого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Консолидацияланбаган банктардын Биринчи деңгээлдеги кошумча капиталга жана финансы-кредиттик уюмдардын жана финансылык эмес уюмдардын капиталына инвестициялар (эгер колдонулса)/(-) Инвестиции в Дополнительный капитал Первого уровня неконсолидированных 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банков и капитал финансово-кредитных организаций и нефинансовых организаций (если применимо)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Биринчи деңгээлдеги кошумча капитал (820-860-ст. суммасы)/Всего Дополнительный капитал Первого уровня (сумма ст.820-860)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Биринчи деңгээлдеги капитал (840 жана 900-ст. суммасы)/Всего капитал Первого уровня (сумма ст.840 и ст.900)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Экинчи деңгээлдеги капитал/Капитал Второго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Өтүп жаткан жылдын пайдасы/Прибыль текущего года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Жалпы кам (кошуу үчүн алгылыктуу)/Общие резервы (приемлемые для включения)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Баалуу кагаздарды кайра баалоо боюнча кам/Резервы по переоценке ценных бумаг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Чет өлкө валютасын консолидациялоодо кайра эсептөө боюнча кам/Резервы по пересчету иностранной валюты при консолидации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Пайданы текшилөөгө кам/Резерв на выравнивание прибыли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970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Инвестициялар боюнча тобокелдиктердин ордун жабууга кам/Резерв на покрытие рисков по инвестициям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980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Капиталдын инструменттеринин жана карыздык инструменттердин бир бөлүгү, ал Улуттук банктын уруксаты менен банктын Директорлор кеңешинин жазуу жүзүндөгү билдирүүсү боюнча Экинчи деңгээлдеги капиталдын курамына киргизилиши мүмкүн/Часть инструментов капитала 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 долговых инструментов, которая может быть включена в состав Капитала Второго уровня с разрешения Национального банка по письменному заявлению совета директоров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990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Экинчи деңгээлдеги капиталга киргизилген (Биринчи деңгээлдеги капиталга киргизилбеген) акцияларды сатуу баасы менен эмиссиялоо натыйжасы боюнча алардын номиналдык наркынын ортосундагы айырма/Разница между ценой продажи акций, включенных в Капитал Второго у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ровня (невключенных в Капитал Первого уровня) и их номинальной стоимостью по результатам эмиссии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1000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Биринчи деңгээлдеги өздүк капиталга тике же кыйыр инвестициялар/(-) Прямые или косвенные инвестиции в свой собственный Капитал Второго уровня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1010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(-) Консолидацияланбаган банктардын Экинчи деңгээлдеги капиталына жана финансы-кредит уюмдарынын жана финансылык эмес уюмдардын капиталына инвестициялар (эгер колдонулса)/(-) Инвестиции в Капитал Второго уровня неконсолидированных банков и капитал финансов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о-кредитных организаций и нефинансовых организаций (если применимо)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1020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Экинчи деңгээлдеги капитал (920-1010-ст. суммасы)/Всего Капитал Второго уровня (сумма ст.920-1010)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1030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Бардыгы болуп таза суммардык капитал (910 жана 1020-ст. суммасы)/Всего чистый суммарный капитал (сумма ст.910 и ст.1020)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1040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Суммардык капиталдын жеткиликтүүлүгүнүн (шайкештигинин) коэффициенти (1030/650-ст.)/Коэффициент достаточности (адекватности) суммарного капитала (ст.1030/ст.650)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1050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Биринчи деңгээлдеги капиталдын жеткиликтүүлүгүнүн (шайкештигинин) коэффициенти (910-ст/1020-ст.)/Коэффициент достаточности (адекватности) капитала Первого уровня (ст.910/ст.650)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1060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Биринчи деңгээлдеги базалык капиталдын жеткиликтүүлүгүнүн (шайкештигинин) коэффициенти (840-ст/650-ст.)/Коэффициент достаточности (адекватности) Базового капитала Первого уровня (ст.840/ст.650)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Маалымат үчүн:/Справочно: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8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Банктын өздүк каражаттары/Собственные средства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</w:t>
      </w:r>
      <w:r>
        <w:rPr>
          <w:rFonts w:ascii="Arial" w:hAnsi="Arial" w:eastAsia="Arial" w:cs="Arial"/>
          <w:sz w:val="24"/>
          <w:szCs w:val="24"/>
        </w:rPr>
        <w:t xml:space="preserve">Приложение 2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отчета "Раздел 4. Пруденциальные отчеты. Подраздел 4.9 Экономические нормативы/показатели. Пункт 4.9.1. Сведения о соблюдении экономических нормативов и поддержке дополнительного запаса капитала банка (показатель "Буфер капитала")" изложить в следующей ре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120" w:line="229" w:lineRule="atLeast"/>
        <w:ind w:right="0" w:firstLine="0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</w:t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1885"/>
        <w:gridCol w:w="758"/>
        <w:gridCol w:w="926"/>
        <w:gridCol w:w="694"/>
        <w:gridCol w:w="256"/>
        <w:gridCol w:w="1162"/>
        <w:gridCol w:w="860"/>
        <w:gridCol w:w="631"/>
        <w:gridCol w:w="2182"/>
      </w:tblGrid>
      <w:tr>
        <w:trPr/>
        <w:tc>
          <w:tcPr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6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Отчет/Отчет: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7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7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4-бөлүк. Пруденциалдык отчеттор. 4.9.-бөлүкчө. Экономикалык ченемдер/көрсөткүчтөр. 4.9.1.-пункту Экономикалык ченемдердин сакталышы жана банк капиталынын кошумча запасын толуктоо тууралуу маалымат ("Капитал буфери" көрсөткүчү)/</w:t>
              <w:br/>
              <w:t xml:space="preserve">Раздел 4. Пруденциальные отч</w:t>
            </w: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еты. Подраздел 4.9. Экономические нормативы/показатели. Пункт 4.9.1. Сведения о соблюдении экономических нормативов и поддержке дополнительного запаса капитала банка (показатель "Буфер капитала")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Субъекттин аталышы/Наименование субъекта: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71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Мезгилдүүлүгү/Периодичность: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Ежемесячно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ФИО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Тел. исп.: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3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1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gridSpan w:val="2"/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643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Единица измерения: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(миӊ сом/тыс. сом)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16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0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82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88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Экономикалык ченемдердин жана талаптардын аталышы, банк капиталынын кошумча запасы ("капитал буфери" көрсөткүчү)/Наименование экономических нормативов и требований, дополнительный запас капитала банка (показатель "буфер капитала")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Белгилениши/Обозначение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20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 капиталынын ченемин жана кошумча запасты эсептөө ("капиталдын буфери" көрсөткүчү)/Расчет норматива и дополнительного запаса капитала банка (показателя "буфер капитала")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Банктын капиталынын ченеминин жана кошумча запастын ("капитал буферинин" көрсөткүчү) айкын мааниси/Фактическое значение норматива и дополнительного запаса капитала банка (показателя "буфер капитала")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9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 капиталынын ченеминин жана кошумча запасынын белгиленген мааниси ("капитал буферинин" көрсөткүчү)/Установленное значение норматива и дополнительного запаса капитала банка (показателя "буфер капитала")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8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 капиталынын белгиленген ченеминен жана кошумча запасынан четтөө ("капитал буферинин" көрсөткүчү)/Отклонение от установленного норматива и дополнительного запаса капитала банка (показателя "буфер капитала")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Белгилениши/Обозначение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Мааниси/Значение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88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Бир карыз алуучуга тобокелдиктин максималдуу өлчөмү/Максимальный размер риска на одного заемщика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К1.1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ашпаган/не более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18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76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К1.2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СЗ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ашпаган/не более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8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76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К1.3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ашпаган/не более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30%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8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76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К1.4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МР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ашпаган/не более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20%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18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88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Капиталдын шайкештигинин ченеми/Норматив адекватности капитала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К2.1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ашпаган/не менее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12% жана 14%**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18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ЧРА+П*Кор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76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К2.2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КПУ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кем эмес/не менее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7,5% жана 9,5%**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18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ЧРА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76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К2.3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БКПУ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кем эмес/не менее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6% жана 8%**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18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ЧРА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>
          <w:trHeight w:val="276"/>
        </w:trPr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К2.4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КПУ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кем эмес/не менее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6%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18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СА+ЗО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88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Ликвиддүүлүк ченеми/Норматив ликвидности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К3.1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кем эмес/не менее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45%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18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88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Чет өлкө валютасынын ликвиддүүлүгүнүн көрсөткүчү ("капитал буфери" көрсөткүчү)/Показатель ликвидности в иностранной валюте (показатель "буфер капитала")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ПЛ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ЛАВ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60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кем эмес/не менее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31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8%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182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ОБВ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88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 капиталынын кошумча запасы ("капиталдын буфери" көрсөткүчү)/Дополнительный запас капитала банка (показатель "буфер капитала")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758" w:type="dxa"/>
            <w:vAlign w:val="top"/>
            <w:vMerge w:val="restart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ЧСК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1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673" w:type="dxa"/>
            <w:vAlign w:val="top"/>
            <w:vMerge w:val="restart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2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ЧРА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9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";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</w:t>
      </w:r>
      <w:r>
        <w:rPr>
          <w:rFonts w:ascii="Arial" w:hAnsi="Arial" w:eastAsia="Arial" w:cs="Arial"/>
          <w:sz w:val="24"/>
          <w:szCs w:val="24"/>
        </w:rPr>
        <w:t xml:space="preserve">Приложение 2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отчета "Раздел 4. Пруденциальные отчеты. Подраздел 4.9 Экономические нормативы/показатели. 4.9.3. Отчет о выполнении требований Национального банка" изложить в следующей редакции: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/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"4.9.3. Улуттук банктын талаптарынын аткарылышы жөнүндө отчет/</w:t>
        <w:br/>
        <w:t xml:space="preserve">4.9.3. Отчет о выполнении требований Национального банка </w:t>
      </w:r>
      <w:r>
        <w:rPr>
          <w:sz w:val="24"/>
          <w:szCs w:val="24"/>
        </w:rPr>
      </w:r>
      <w:r>
        <w:rPr>
          <w:szCs w:val="24"/>
        </w:rPr>
      </w:r>
    </w:p>
    <w:tbl>
      <w:tblPr>
        <w:tblStyle w:val="685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146"/>
        <w:gridCol w:w="2581"/>
        <w:gridCol w:w="864"/>
        <w:gridCol w:w="1098"/>
        <w:gridCol w:w="1665"/>
      </w:tblGrid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1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Белгилениши/Обозначение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2"/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44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Ченемди эсептөө/Расчет норматива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Айкын мааниси/Фактическое 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6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Белгиленген мааниси/Установленное 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Белгилениши/Обозначение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Мааниси/Значение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8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1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Бланктык кредиттер боюнча тобокелдиктин максималдуу өлчөмү/Максимальный размер риска по бланковым кредитам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Бланктык кредиттер/Бланковые кредиты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6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Таза суммардык капиталдын 50%нан ашпаган/не более 50% от ЧСК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Таза суммардык капитал/ЧСК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1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Аффилирленген жана байланыштуу жактары менен ар бир банк эмес уюмга кайсы гана болбосун финансылык салымдарды жана кредиттерди кошо алганда, кайсы гана болбосун инвестициялардын максималдуу өлчөмү/Максимальный размер любых инвестиций, включая любые финансо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вые вложения и кредиты в каждую небанковскую организацию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Инвестициялардын өлчөмү/Размер инвестиций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6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өздүк (жөнгө салуучу) капиталдын 15%нан аз/менее 15% от собственного (регулятивного) капитала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Өздүк (жөнгө салуучу) капитал/Собственный (регулятивный) капитал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1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 эмес уюмдарга жалпы инвестициялардын максималдуу өлчөмү/Максимальный размер общих инвестиций в небанковские организации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Инвестициялардын өлчөмү/Размер инвестиций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6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өздүк (жөнгө салынуучу) капиталдын 60%нан аз/менее 60% от собственного (регулятивного) капитала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Өздүк (жөнгө салуучу) капитал/Собственный (регулятивный) капитал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1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Аффилирленген жана байланыштуу жактар менен операциялар боюнча тобокелдиктин максималдуу өлчөмү/Максимальный размер риска по операциям с аффилированными и связанными с лицами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Чогуу алынган карыз/Совокупная задолженность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6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өздүк (жөнгө салуучу) капиталдын 60%нан ашпаган/не более 60% от собственного (регулятивного) капитала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Өздүк (жөнгө салуучу) капитал/Собственный (регулятивный) капитал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1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Банктык жайларга инвестициялардын максималдуу өлчөмү (негизги каражаттар)/Максимальный размер инвестиций в банковские помещения (основные средства)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Инвестициялардын өлчөмү/Размер инвестиций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6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төлөнгөн уставдык капиталдын өлчөмүнүн 100%нан ашпаган/не более 100% от размера оплаченного уставного капитала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Төлөнгөн уставдык капитал/Оплаченный уставный капитал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1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Банктын мамлекеттердин өкмөттөрүнүн жана борбордук банктарынын баалуу кагаздарына инвестицияларынын жалпы өлчөмү/Общий размер инвестиций банка в ценные бумаги правительств и центральных банков государств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Инвестициялардын өлчөмү/Размер инвестиций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6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таза суммардык капиталдын 100%нан ашпаган/не более 100% от ЧСК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Таза суммардык капитал/ЧСК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1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Банктын мамлекеттик эмес карыздык баалуу кагаздарга инвестицияларынын жалпы өлчөмү/Общий размер инвестиций банка в негосударственные долговые ценные бумаги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Инвестициялардын өлчөмү/Размер инвестиций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6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таза суммардык капиталдын 50%нан ашпаган/не более 50% от ЧСК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Таза суммардык капитал/ЧСК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1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Банктын ири тобокелдиктеринин жалпы өлчөмү/Общий размер крупных рисков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Банктын ири тобокелдиктеринин жалпы суммасы/Общая сумма крупных рисков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6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Таза суммардык капиталдын беш эсе өлчөмүнүн 100%нан ашпаган/не более 100% от пятикратного размера ЧСК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Таза суммардык капиталдын беш эсе өлчөмү/Пятикратный размер ЧСК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1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Баалуу металл түрүндөгү активдердин максималдуу өлчөмү жана кардарлардын тапшырмасы боюнча баалуу металлдар менен операцияларды ишке ашырууга каражаттардын суммасы/Максимальный объем активов в драгоценных металлах и сумма средств на осуществление операций </w:t>
            </w: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с драгоценными металлами по поручению клиентов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Баалуу металл түрүндөгү активдердин көлөмү жана баалуу металлдар менен операцияларды ишке ашырууга каражаттардын суммасы/Объем активов в драгоценных металлах и сумма средств на осуществление операций с драгоценными металлами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/>
              <w:spacing w:after="0" w:before="0" w:line="240" w:lineRule="auto"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6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банктын төлөнгөн уставдык капиталынын 100%нан ашпаган/не более 100% от оплаченного уставного капитала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Төлөнгөн уставдык капитал/Оплаченный уставной капитал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3146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Жеке адамдардан жана юридикалык жактардан тартылган депозиттердин максималдуу көлөмү*/Максимальный объем депозитов, привлеченных от физических и юридических лиц*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Жеке адамдардан жана юридикалык жактардан тартылган депозиттердин көлөмү/Объем депозитов, привлеченных от физических и юридических лиц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098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1665" w:type="dxa"/>
            <w:vAlign w:val="top"/>
            <w:vMerge w:val="restart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кредит портфелинин өлчөмүнүн 50%нан ашпаган/не более 50% от размера кредитного портфеля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2581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Банктын кредит портфелинин өлчөмү/Размер кредитного портфеля банка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tcMar>
              <w:left w:w="108" w:type="dxa"/>
              <w:top w:w="68" w:type="dxa"/>
              <w:right w:w="108" w:type="dxa"/>
              <w:bottom w:w="68" w:type="dxa"/>
            </w:tcMar>
            <w:tcW w:w="86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0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8" w:space="0"/>
              <w:right w:val="single" w:color="000000" w:sz="8" w:space="0"/>
            </w:tcBorders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before="120" w:line="229" w:lineRule="atLeast"/>
        <w:ind w:right="0" w:firstLine="567" w:left="0"/>
        <w:jc w:val="right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Bdr/>
        <w:spacing w:after="360"/>
        <w:ind w:right="0" w:firstLine="0" w:left="0"/>
        <w:jc w:val="center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Bdr/>
        <w:spacing w:after="360"/>
        <w:ind w:right="0" w:firstLine="0" w:left="0"/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</w:p>
    <w:sectPr>
      <w:footnotePr/>
      <w:endnotePr/>
      <w:type w:val="nextPage"/>
      <w:pgSz w:h="11906" w:orient="landscape" w:w="16838"/>
      <w:pgMar w:top="1701" w:right="1134" w:bottom="850" w:left="1134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FollowedHyperlink"/>
    <w:basedOn w:val="83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7">
    <w:name w:val="Heading 1 Char"/>
    <w:basedOn w:val="837"/>
    <w:link w:val="82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8">
    <w:name w:val="Heading 2 Char"/>
    <w:basedOn w:val="837"/>
    <w:link w:val="829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9">
    <w:name w:val="Heading 3 Char"/>
    <w:basedOn w:val="837"/>
    <w:link w:val="830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70">
    <w:name w:val="Heading 4 Char"/>
    <w:basedOn w:val="837"/>
    <w:link w:val="831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5 Char"/>
    <w:basedOn w:val="837"/>
    <w:link w:val="832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6 Char"/>
    <w:basedOn w:val="837"/>
    <w:link w:val="83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7 Char"/>
    <w:basedOn w:val="837"/>
    <w:link w:val="834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4">
    <w:name w:val="Heading 8 Char"/>
    <w:basedOn w:val="837"/>
    <w:link w:val="835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9 Char"/>
    <w:basedOn w:val="837"/>
    <w:link w:val="83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Title Char"/>
    <w:basedOn w:val="837"/>
    <w:link w:val="841"/>
    <w:uiPriority w:val="10"/>
    <w:pPr>
      <w:pBdr/>
      <w:spacing/>
      <w:ind/>
    </w:pPr>
    <w:rPr>
      <w:sz w:val="48"/>
      <w:szCs w:val="48"/>
    </w:rPr>
  </w:style>
  <w:style w:type="character" w:styleId="677">
    <w:name w:val="Subtitle Char"/>
    <w:basedOn w:val="837"/>
    <w:link w:val="858"/>
    <w:uiPriority w:val="11"/>
    <w:pPr>
      <w:pBdr/>
      <w:spacing/>
      <w:ind/>
    </w:pPr>
    <w:rPr>
      <w:sz w:val="24"/>
      <w:szCs w:val="24"/>
    </w:rPr>
  </w:style>
  <w:style w:type="character" w:styleId="678">
    <w:name w:val="Quote Char"/>
    <w:link w:val="863"/>
    <w:uiPriority w:val="29"/>
    <w:pPr>
      <w:pBdr/>
      <w:spacing/>
      <w:ind/>
    </w:pPr>
    <w:rPr>
      <w:i/>
    </w:rPr>
  </w:style>
  <w:style w:type="character" w:styleId="679">
    <w:name w:val="Intense Quote Char"/>
    <w:link w:val="865"/>
    <w:uiPriority w:val="30"/>
    <w:pPr>
      <w:pBdr/>
      <w:spacing/>
      <w:ind/>
    </w:pPr>
    <w:rPr>
      <w:i/>
    </w:rPr>
  </w:style>
  <w:style w:type="paragraph" w:styleId="680">
    <w:name w:val="Header"/>
    <w:basedOn w:val="827"/>
    <w:link w:val="681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Header Char"/>
    <w:basedOn w:val="837"/>
    <w:link w:val="680"/>
    <w:uiPriority w:val="99"/>
    <w:pPr>
      <w:pBdr/>
      <w:spacing/>
      <w:ind/>
    </w:pPr>
  </w:style>
  <w:style w:type="paragraph" w:styleId="682">
    <w:name w:val="Footer"/>
    <w:basedOn w:val="827"/>
    <w:link w:val="684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3">
    <w:name w:val="Footer Char"/>
    <w:basedOn w:val="837"/>
    <w:link w:val="682"/>
    <w:uiPriority w:val="99"/>
    <w:pPr>
      <w:pBdr/>
      <w:spacing/>
      <w:ind/>
    </w:pPr>
  </w:style>
  <w:style w:type="character" w:styleId="684">
    <w:name w:val="Caption Char"/>
    <w:basedOn w:val="855"/>
    <w:link w:val="682"/>
    <w:uiPriority w:val="99"/>
    <w:pPr>
      <w:pBdr/>
      <w:spacing/>
      <w:ind/>
    </w:pPr>
  </w:style>
  <w:style w:type="table" w:styleId="685">
    <w:name w:val="Table Grid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Table Grid Light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1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2"/>
    <w:basedOn w:val="83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Plain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Plain Table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1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2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3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4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4 - Accent 5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4 - Accent 6"/>
    <w:basedOn w:val="83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1 Light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1 Light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2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2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3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3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4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4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5 Dark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5 Dark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6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6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7 Colorful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7 Colorful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1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2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3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4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 &amp; Lined - Accent 5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&amp; Lined - Accent 6"/>
    <w:basedOn w:val="83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1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2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3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4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- Accent 5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- Accent 6"/>
    <w:basedOn w:val="83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1">
    <w:name w:val="footnote text"/>
    <w:basedOn w:val="827"/>
    <w:link w:val="812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2">
    <w:name w:val="Footnote Text Char"/>
    <w:link w:val="811"/>
    <w:uiPriority w:val="99"/>
    <w:pPr>
      <w:pBdr/>
      <w:spacing/>
      <w:ind/>
    </w:pPr>
    <w:rPr>
      <w:sz w:val="18"/>
    </w:rPr>
  </w:style>
  <w:style w:type="character" w:styleId="813">
    <w:name w:val="footnote reference"/>
    <w:basedOn w:val="837"/>
    <w:uiPriority w:val="99"/>
    <w:unhideWhenUsed/>
    <w:pPr>
      <w:pBdr/>
      <w:spacing/>
      <w:ind/>
    </w:pPr>
    <w:rPr>
      <w:vertAlign w:val="superscript"/>
    </w:rPr>
  </w:style>
  <w:style w:type="paragraph" w:styleId="814">
    <w:name w:val="endnote text"/>
    <w:basedOn w:val="827"/>
    <w:link w:val="815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5">
    <w:name w:val="Endnote Text Char"/>
    <w:link w:val="814"/>
    <w:uiPriority w:val="99"/>
    <w:pPr>
      <w:pBdr/>
      <w:spacing/>
      <w:ind/>
    </w:pPr>
    <w:rPr>
      <w:sz w:val="20"/>
    </w:rPr>
  </w:style>
  <w:style w:type="character" w:styleId="816">
    <w:name w:val="endnote reference"/>
    <w:basedOn w:val="837"/>
    <w:uiPriority w:val="99"/>
    <w:semiHidden/>
    <w:unhideWhenUsed/>
    <w:pPr>
      <w:pBdr/>
      <w:spacing/>
      <w:ind/>
    </w:pPr>
    <w:rPr>
      <w:vertAlign w:val="superscript"/>
    </w:rPr>
  </w:style>
  <w:style w:type="paragraph" w:styleId="817">
    <w:name w:val="toc 1"/>
    <w:basedOn w:val="827"/>
    <w:next w:val="827"/>
    <w:uiPriority w:val="39"/>
    <w:unhideWhenUsed/>
    <w:pPr>
      <w:pBdr/>
      <w:spacing w:after="57"/>
      <w:ind w:right="0" w:firstLine="0" w:left="0"/>
    </w:pPr>
  </w:style>
  <w:style w:type="paragraph" w:styleId="818">
    <w:name w:val="toc 2"/>
    <w:basedOn w:val="827"/>
    <w:next w:val="827"/>
    <w:uiPriority w:val="39"/>
    <w:unhideWhenUsed/>
    <w:pPr>
      <w:pBdr/>
      <w:spacing w:after="57"/>
      <w:ind w:right="0" w:firstLine="0" w:left="283"/>
    </w:pPr>
  </w:style>
  <w:style w:type="paragraph" w:styleId="819">
    <w:name w:val="toc 3"/>
    <w:basedOn w:val="827"/>
    <w:next w:val="827"/>
    <w:uiPriority w:val="39"/>
    <w:unhideWhenUsed/>
    <w:pPr>
      <w:pBdr/>
      <w:spacing w:after="57"/>
      <w:ind w:right="0" w:firstLine="0" w:left="567"/>
    </w:pPr>
  </w:style>
  <w:style w:type="paragraph" w:styleId="820">
    <w:name w:val="toc 4"/>
    <w:basedOn w:val="827"/>
    <w:next w:val="827"/>
    <w:uiPriority w:val="39"/>
    <w:unhideWhenUsed/>
    <w:pPr>
      <w:pBdr/>
      <w:spacing w:after="57"/>
      <w:ind w:right="0" w:firstLine="0" w:left="850"/>
    </w:pPr>
  </w:style>
  <w:style w:type="paragraph" w:styleId="821">
    <w:name w:val="toc 5"/>
    <w:basedOn w:val="827"/>
    <w:next w:val="827"/>
    <w:uiPriority w:val="39"/>
    <w:unhideWhenUsed/>
    <w:pPr>
      <w:pBdr/>
      <w:spacing w:after="57"/>
      <w:ind w:right="0" w:firstLine="0" w:left="1134"/>
    </w:pPr>
  </w:style>
  <w:style w:type="paragraph" w:styleId="822">
    <w:name w:val="toc 6"/>
    <w:basedOn w:val="827"/>
    <w:next w:val="827"/>
    <w:uiPriority w:val="39"/>
    <w:unhideWhenUsed/>
    <w:pPr>
      <w:pBdr/>
      <w:spacing w:after="57"/>
      <w:ind w:right="0" w:firstLine="0" w:left="1417"/>
    </w:pPr>
  </w:style>
  <w:style w:type="paragraph" w:styleId="823">
    <w:name w:val="toc 7"/>
    <w:basedOn w:val="827"/>
    <w:next w:val="827"/>
    <w:uiPriority w:val="39"/>
    <w:unhideWhenUsed/>
    <w:pPr>
      <w:pBdr/>
      <w:spacing w:after="57"/>
      <w:ind w:right="0" w:firstLine="0" w:left="1701"/>
    </w:pPr>
  </w:style>
  <w:style w:type="paragraph" w:styleId="824">
    <w:name w:val="toc 8"/>
    <w:basedOn w:val="827"/>
    <w:next w:val="827"/>
    <w:uiPriority w:val="39"/>
    <w:unhideWhenUsed/>
    <w:pPr>
      <w:pBdr/>
      <w:spacing w:after="57"/>
      <w:ind w:right="0" w:firstLine="0" w:left="1984"/>
    </w:pPr>
  </w:style>
  <w:style w:type="paragraph" w:styleId="825">
    <w:name w:val="toc 9"/>
    <w:basedOn w:val="827"/>
    <w:next w:val="827"/>
    <w:uiPriority w:val="39"/>
    <w:unhideWhenUsed/>
    <w:pPr>
      <w:pBdr/>
      <w:spacing w:after="57"/>
      <w:ind w:right="0" w:firstLine="0" w:left="2268"/>
    </w:pPr>
  </w:style>
  <w:style w:type="paragraph" w:styleId="826">
    <w:name w:val="table of figures"/>
    <w:basedOn w:val="827"/>
    <w:next w:val="827"/>
    <w:uiPriority w:val="99"/>
    <w:unhideWhenUsed/>
    <w:pPr>
      <w:pBdr/>
      <w:spacing w:after="0" w:afterAutospacing="0"/>
      <w:ind/>
    </w:pPr>
  </w:style>
  <w:style w:type="paragraph" w:styleId="827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8">
    <w:name w:val="Heading 1"/>
    <w:basedOn w:val="827"/>
    <w:next w:val="827"/>
    <w:link w:val="846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9">
    <w:name w:val="Heading 2"/>
    <w:basedOn w:val="827"/>
    <w:next w:val="827"/>
    <w:link w:val="847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30">
    <w:name w:val="Heading 3"/>
    <w:basedOn w:val="827"/>
    <w:next w:val="827"/>
    <w:link w:val="848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31">
    <w:name w:val="Heading 4"/>
    <w:basedOn w:val="827"/>
    <w:next w:val="827"/>
    <w:link w:val="849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2">
    <w:name w:val="Heading 5"/>
    <w:basedOn w:val="827"/>
    <w:next w:val="827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3">
    <w:name w:val="Heading 6"/>
    <w:basedOn w:val="827"/>
    <w:next w:val="827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4">
    <w:name w:val="Heading 7"/>
    <w:basedOn w:val="827"/>
    <w:next w:val="827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5">
    <w:name w:val="Heading 8"/>
    <w:basedOn w:val="827"/>
    <w:next w:val="827"/>
    <w:link w:val="853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6">
    <w:name w:val="Heading 9"/>
    <w:basedOn w:val="827"/>
    <w:next w:val="827"/>
    <w:link w:val="854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7" w:default="1">
    <w:name w:val="Default Paragraph Font"/>
    <w:uiPriority w:val="1"/>
    <w:semiHidden/>
    <w:unhideWhenUsed/>
    <w:pPr>
      <w:pBdr/>
      <w:spacing/>
      <w:ind/>
    </w:pPr>
  </w:style>
  <w:style w:type="table" w:styleId="83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9" w:default="1">
    <w:name w:val="No List"/>
    <w:uiPriority w:val="99"/>
    <w:semiHidden/>
    <w:unhideWhenUsed/>
    <w:pPr>
      <w:pBdr/>
      <w:spacing/>
      <w:ind/>
    </w:pPr>
  </w:style>
  <w:style w:type="paragraph" w:styleId="840" w:customStyle="1">
    <w:name w:val="Реквизит"/>
    <w:basedOn w:val="827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41">
    <w:name w:val="Title"/>
    <w:basedOn w:val="827"/>
    <w:link w:val="842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2" w:customStyle="1">
    <w:name w:val="Заголовок Знак"/>
    <w:basedOn w:val="837"/>
    <w:link w:val="841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3">
    <w:name w:val="Message Header"/>
    <w:basedOn w:val="827"/>
    <w:link w:val="844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4" w:customStyle="1">
    <w:name w:val="Шапка Знак"/>
    <w:basedOn w:val="837"/>
    <w:link w:val="843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5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6" w:customStyle="1">
    <w:name w:val="Заголовок 1 Знак"/>
    <w:basedOn w:val="837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7" w:customStyle="1">
    <w:name w:val="Заголовок 2 Знак"/>
    <w:basedOn w:val="837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8" w:customStyle="1">
    <w:name w:val="Заголовок 3 Знак"/>
    <w:basedOn w:val="837"/>
    <w:link w:val="830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9" w:customStyle="1">
    <w:name w:val="Заголовок 4 Знак"/>
    <w:basedOn w:val="837"/>
    <w:link w:val="831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50" w:customStyle="1">
    <w:name w:val="Заголовок 5 Знак"/>
    <w:basedOn w:val="837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51" w:customStyle="1">
    <w:name w:val="Заголовок 6 Знак"/>
    <w:basedOn w:val="837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2" w:customStyle="1">
    <w:name w:val="Заголовок 7 Знак"/>
    <w:basedOn w:val="837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3" w:customStyle="1">
    <w:name w:val="Заголовок 8 Знак"/>
    <w:basedOn w:val="837"/>
    <w:link w:val="835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4" w:customStyle="1">
    <w:name w:val="Заголовок 9 Знак"/>
    <w:basedOn w:val="837"/>
    <w:link w:val="836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5">
    <w:name w:val="Caption"/>
    <w:basedOn w:val="827"/>
    <w:next w:val="827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6">
    <w:name w:val="Signature"/>
    <w:basedOn w:val="827"/>
    <w:link w:val="857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7" w:customStyle="1">
    <w:name w:val="Подпись Знак"/>
    <w:basedOn w:val="837"/>
    <w:link w:val="856"/>
    <w:uiPriority w:val="99"/>
    <w:pPr>
      <w:pBdr/>
      <w:spacing/>
      <w:ind/>
    </w:pPr>
    <w:rPr>
      <w:rFonts w:ascii="Arial" w:hAnsi="Arial"/>
      <w:b/>
      <w:sz w:val="24"/>
    </w:rPr>
  </w:style>
  <w:style w:type="paragraph" w:styleId="858">
    <w:name w:val="Subtitle"/>
    <w:basedOn w:val="827"/>
    <w:next w:val="827"/>
    <w:link w:val="859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9" w:customStyle="1">
    <w:name w:val="Подзаголовок Знак"/>
    <w:basedOn w:val="837"/>
    <w:link w:val="858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60">
    <w:name w:val="Strong"/>
    <w:basedOn w:val="837"/>
    <w:uiPriority w:val="22"/>
    <w:semiHidden/>
    <w:qFormat/>
    <w:pPr>
      <w:pBdr/>
      <w:spacing/>
      <w:ind/>
    </w:pPr>
    <w:rPr>
      <w:b/>
      <w:bCs/>
    </w:rPr>
  </w:style>
  <w:style w:type="character" w:styleId="861">
    <w:name w:val="Emphasis"/>
    <w:basedOn w:val="837"/>
    <w:uiPriority w:val="20"/>
    <w:semiHidden/>
    <w:qFormat/>
    <w:pPr>
      <w:pBdr/>
      <w:spacing/>
      <w:ind/>
    </w:pPr>
    <w:rPr>
      <w:i/>
      <w:iCs/>
    </w:rPr>
  </w:style>
  <w:style w:type="paragraph" w:styleId="862">
    <w:name w:val="List Paragraph"/>
    <w:basedOn w:val="827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3">
    <w:name w:val="Quote"/>
    <w:basedOn w:val="827"/>
    <w:next w:val="827"/>
    <w:link w:val="864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4" w:customStyle="1">
    <w:name w:val="Цитата 2 Знак"/>
    <w:basedOn w:val="837"/>
    <w:link w:val="863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5">
    <w:name w:val="Intense Quote"/>
    <w:basedOn w:val="827"/>
    <w:next w:val="827"/>
    <w:link w:val="866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6" w:customStyle="1">
    <w:name w:val="Выделенная цитата Знак"/>
    <w:basedOn w:val="837"/>
    <w:link w:val="865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7">
    <w:name w:val="Subtle Emphasis"/>
    <w:basedOn w:val="837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8">
    <w:name w:val="Intense Emphasis"/>
    <w:basedOn w:val="837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9">
    <w:name w:val="Subtle Reference"/>
    <w:basedOn w:val="837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70">
    <w:name w:val="Intense Reference"/>
    <w:basedOn w:val="837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71">
    <w:name w:val="Book Title"/>
    <w:basedOn w:val="837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2">
    <w:name w:val="TOC Heading"/>
    <w:basedOn w:val="828"/>
    <w:next w:val="827"/>
    <w:uiPriority w:val="39"/>
    <w:semiHidden/>
    <w:qFormat/>
    <w:pPr>
      <w:pBdr/>
      <w:spacing/>
      <w:ind/>
      <w:outlineLvl w:val="9"/>
    </w:pPr>
  </w:style>
  <w:style w:type="paragraph" w:styleId="873">
    <w:name w:val="Normal Indent"/>
    <w:basedOn w:val="827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4">
    <w:name w:val="annotation text"/>
    <w:basedOn w:val="827"/>
    <w:link w:val="875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5" w:customStyle="1">
    <w:name w:val="Текст примечания Знак"/>
    <w:basedOn w:val="837"/>
    <w:link w:val="874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6" w:customStyle="1">
    <w:name w:val="Редакции"/>
    <w:basedOn w:val="827"/>
    <w:pPr>
      <w:pBdr/>
      <w:spacing w:after="240"/>
      <w:ind w:firstLine="0"/>
      <w:jc w:val="center"/>
    </w:pPr>
    <w:rPr>
      <w:i/>
      <w:iCs/>
    </w:rPr>
  </w:style>
  <w:style w:type="paragraph" w:styleId="877" w:customStyle="1">
    <w:name w:val="Таблица"/>
    <w:basedOn w:val="827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8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9">
    <w:name w:val="Balloon Text"/>
    <w:basedOn w:val="827"/>
    <w:link w:val="880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80" w:customStyle="1">
    <w:name w:val="Текст выноски Знак"/>
    <w:basedOn w:val="837"/>
    <w:link w:val="879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36280/ru#st_5" TargetMode="External"/><Relationship Id="rId10" Type="http://schemas.openxmlformats.org/officeDocument/2006/relationships/hyperlink" Target="https://cbd.minjust.gov.kg/112424/edition/36280/ru#st_9" TargetMode="External"/><Relationship Id="rId11" Type="http://schemas.openxmlformats.org/officeDocument/2006/relationships/hyperlink" Target="https://cbd.minjust.gov.kg/112424/edition/36280/ru#st_64" TargetMode="External"/><Relationship Id="rId12" Type="http://schemas.openxmlformats.org/officeDocument/2006/relationships/hyperlink" Target="https://cbd.minjust.gov.kg/46-989/edition/1139931/ru" TargetMode="External"/><Relationship Id="rId13" Type="http://schemas.openxmlformats.org/officeDocument/2006/relationships/hyperlink" Target="https://cbd.minjust.gov.kg/8-53/edition/1139933/ru" TargetMode="External"/><Relationship Id="rId14" Type="http://schemas.openxmlformats.org/officeDocument/2006/relationships/hyperlink" Target="https://cbd.minjust.gov.kg/22-441/edition/1057622/ru" TargetMode="External"/><Relationship Id="rId15" Type="http://schemas.openxmlformats.org/officeDocument/2006/relationships/hyperlink" Target="https://cbd.minjust.gov.kg/8-289/edition/569901/ru" TargetMode="External"/><Relationship Id="rId16" Type="http://schemas.openxmlformats.org/officeDocument/2006/relationships/hyperlink" Target="https://cbd.minjust.gov.kg/8-291/edition/886067/ru" TargetMode="External"/><Relationship Id="rId17" Type="http://schemas.openxmlformats.org/officeDocument/2006/relationships/hyperlink" Target="https://cbd.minjust.gov.kg/8-53/edition/1139933/ru" TargetMode="External"/><Relationship Id="rId18" Type="http://schemas.openxmlformats.org/officeDocument/2006/relationships/hyperlink" Target="https://cbd.minjust.gov.kg/46-989/edition/1139931/ru" TargetMode="External"/><Relationship Id="rId19" Type="http://schemas.openxmlformats.org/officeDocument/2006/relationships/hyperlink" Target="https://cbd.minjust.gov.kg/46-989/edition/1139931/ru" TargetMode="External"/><Relationship Id="rId20" Type="http://schemas.openxmlformats.org/officeDocument/2006/relationships/hyperlink" Target="https://cbd.minjust.gov.kg/8-53/edition/1139933/ru" TargetMode="External"/><Relationship Id="rId21" Type="http://schemas.openxmlformats.org/officeDocument/2006/relationships/hyperlink" Target="https://cbd.minjust.gov.kg/8-289/edition/569901/ru" TargetMode="External"/><Relationship Id="rId22" Type="http://schemas.openxmlformats.org/officeDocument/2006/relationships/hyperlink" Target="https://cbd.minjust.gov.kg/22-441/edition/1057622/ru" TargetMode="External"/><Relationship Id="rId23" Type="http://schemas.openxmlformats.org/officeDocument/2006/relationships/hyperlink" Target="https://cbd.minjust.gov.kg/22-441/edition/1057622/ru" TargetMode="External"/><Relationship Id="rId24" Type="http://schemas.openxmlformats.org/officeDocument/2006/relationships/hyperlink" Target="https://cbd.minjust.gov.kg/8-289/edition/569901/ru" TargetMode="External"/><Relationship Id="rId25" Type="http://schemas.openxmlformats.org/officeDocument/2006/relationships/hyperlink" Target="https://cbd.minjust.gov.kg/8-291/edition/886067/ru" TargetMode="External"/><Relationship Id="rId26" Type="http://schemas.openxmlformats.org/officeDocument/2006/relationships/hyperlink" Target="https://cbd.minjust.gov.kg/46-3532/edition/1081338/ru" TargetMode="External"/><Relationship Id="rId27" Type="http://schemas.openxmlformats.org/officeDocument/2006/relationships/hyperlink" Target="https://cbd.minjust.gov.kg/8-291/edition/886067/ru" TargetMode="External"/><Relationship Id="rId28" Type="http://schemas.openxmlformats.org/officeDocument/2006/relationships/hyperlink" Target="https://cbd.minjust.gov.kg/22-441/edition/1057622/ru" TargetMode="External"/><Relationship Id="rId29" Type="http://schemas.openxmlformats.org/officeDocument/2006/relationships/hyperlink" Target="https://cbd.minjust.gov.kg/8-289/edition/569901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17</cp:revision>
  <dcterms:created xsi:type="dcterms:W3CDTF">2024-01-18T05:24:00Z</dcterms:created>
  <dcterms:modified xsi:type="dcterms:W3CDTF">2025-09-16T08:57:53Z</dcterms:modified>
</cp:coreProperties>
</file>