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12 сентября 2025 года № 2025-П-12/46-1-(НПА)</w:t>
      </w:r>
      <w:r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sz w:val="28"/>
          <w:szCs w:val="28"/>
        </w:rPr>
      </w:r>
      <w:r>
        <w:rPr>
          <w:rFonts w:ascii="Arial" w:hAnsi="Arial" w:eastAsia="Arial" w:cs="Arial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37202/ru#st_5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37202/ru#st_9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37202/ru#st_64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r:id="rId12" w:tooltip="http://212.42.109.12:8089/8.1.1-26/web-apps/apps/documenteditor/main/index.html?_dc=8.1.1-26&amp;lang=ru&amp;customer=ONLYOFFICE&amp;type=desktop&amp;frameEditorId=placeholder&amp;isForm=false&amp;parentOrigin=http://212.42.109.12:8085&amp;fileType=docx#pr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"Об основных требованиях к Комитету по аудиту" </w:t>
      </w:r>
      <w:hyperlink r:id="rId13" w:tooltip="https://cbd.minjust.gov.kg/8-99/edition/9141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20 ноября 2003 года № 32/7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"О </w:t>
      </w:r>
      <w:hyperlink r:id="rId14" w:tooltip="https://cbd.minjust.gov.kg/8-398/edition/45665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хранения" </w:t>
      </w:r>
      <w:hyperlink r:id="rId15" w:tooltip="https://cbd.minjust.gov.kg/8-54/edition/4566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27 августа 2004 года № 22/9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"Об </w:t>
      </w:r>
      <w:hyperlink r:id="rId16" w:tooltip="https://cbd.minjust.gov.kg/22-440/edition/43635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</w:t>
      </w:r>
      <w:hyperlink r:id="rId17" w:tooltip="https://cbd.minjust.gov.kg/8-275/edition/43616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14 октября 2009 года № 41/4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"Об утверждении </w:t>
      </w:r>
      <w:hyperlink r:id="rId18" w:tooltip="https://cbd.minjust.gov.kg/22-441/edition/10576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</w:t>
      </w:r>
      <w:hyperlink r:id="rId19" w:tooltip="https://cbd.minjust.gov.kg/8-289/edition/5699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"О некоторых нормативных правовых актах Национального банка Кыргызской Республики" </w:t>
      </w:r>
      <w:hyperlink r:id="rId20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"Об утверждении </w:t>
      </w:r>
      <w:hyperlink r:id="rId21" w:tooltip="https://cbd.minjust.gov.kg/8-406/edition/111520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</w:t>
      </w:r>
      <w:hyperlink r:id="rId22" w:tooltip="https://cbd.minjust.gov.kg/8-405/edition/11151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12 октября 2012 года № 40/1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7) "Об утверждении "</w:t>
      </w:r>
      <w:hyperlink r:id="rId23" w:tooltip="https://cbd.minjust.gov.kg/46-3571/edition/1085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hyperlink r:id="rId24" w:tooltip="https://cbd.minjust.gov.kg/8-455/edition/778027/ru?editionCode=exact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25 сентября 2013 года № 35/13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8) "Об утверждении </w:t>
      </w:r>
      <w:hyperlink r:id="rId25" w:tooltip="https://cbd.minjust.gov.kg/46-3453/edition/9281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 привлекающих вклады (депозиты)" </w:t>
      </w:r>
      <w:hyperlink r:id="rId26" w:tooltip="https://cbd.minjust.gov.kg/8-467/edition/5062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9) "Об утверждении "</w:t>
      </w:r>
      <w:hyperlink r:id="rId27" w:tooltip="https://cbd.minjust.gov.kg/46-3576/edition/50118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</w:t>
      </w:r>
      <w:hyperlink r:id="rId28" w:tooltip="https://cbd.minjust.gov.kg/8-473/edition/6510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23 декабря 2013 года № 52/7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10) "Об утверждении "</w:t>
      </w:r>
      <w:hyperlink r:id="rId29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</w:t>
      </w:r>
      <w:hyperlink r:id="rId30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11)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</w:t>
      </w:r>
      <w:r>
        <w:rPr>
          <w:rFonts w:ascii="Arial" w:hAnsi="Arial" w:eastAsia="Arial" w:cs="Arial"/>
          <w:sz w:val="24"/>
          <w:szCs w:val="24"/>
        </w:rPr>
        <w:t xml:space="preserve">от 31 мая 2017 года № 21/13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12)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Республики" </w:t>
      </w:r>
      <w:r>
        <w:rPr>
          <w:rFonts w:ascii="Arial" w:hAnsi="Arial" w:eastAsia="Arial" w:cs="Arial"/>
          <w:sz w:val="24"/>
          <w:szCs w:val="24"/>
        </w:rPr>
        <w:t xml:space="preserve">от 15 июня 2017 года № 2017-П-12/25-3-(НПА)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13) "Об утверждении </w:t>
      </w:r>
      <w:hyperlink r:id="rId31" w:tooltip="https://cbd.minjust.gov.kg/46-3635/edition/9009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</w:t>
      </w:r>
      <w:hyperlink r:id="rId32" w:tooltip="https://cbd.minjust.gov.kg/8-662/edition/9009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18 июля 2018 года № 2018-П-12/30-3-(БС)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14) "Об утверждении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финансирования" </w:t>
      </w:r>
      <w:r>
        <w:rPr>
          <w:rFonts w:ascii="Arial" w:hAnsi="Arial" w:eastAsia="Arial" w:cs="Arial"/>
          <w:sz w:val="24"/>
          <w:szCs w:val="24"/>
        </w:rPr>
        <w:t xml:space="preserve">от 25 ноября 2020 года № 2020-П-12/67-3-(НПА)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15)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финансирования" </w:t>
      </w:r>
      <w:r>
        <w:rPr>
          <w:rFonts w:ascii="Arial" w:hAnsi="Arial" w:eastAsia="Arial" w:cs="Arial"/>
          <w:sz w:val="24"/>
          <w:szCs w:val="24"/>
        </w:rPr>
        <w:t xml:space="preserve">от 14 февраля 2024 года № 2024-П-12/5-4-(НПА)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Со дня вступления в силу настоящего постановления признать утратившими силу: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</w:t>
      </w:r>
      <w:hyperlink r:id="rId33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hyperlink r:id="rId34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</w:t>
      </w:r>
      <w:hyperlink r:id="rId35" w:tooltip="https://cbd.minjust.gov.kg/8-132/edition/33073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изменения в </w:t>
      </w:r>
      <w:hyperlink r:id="rId36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НБКР № 32/2 от 30.10.2006 г. "О </w:t>
      </w:r>
      <w:hyperlink r:id="rId37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15 ноября 2006 года № 36/1;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</w:t>
      </w:r>
      <w:hyperlink r:id="rId38" w:tooltip="https://cbd.minjust.gov.kg/8-133/edition/33073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r:id="rId39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НБКР № 32/2 от 30.10.2006 г. "О </w:t>
      </w:r>
      <w:hyperlink r:id="rId40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№ 36/1 от 15.11.2006 г. "О внесении изменения в </w:t>
      </w:r>
      <w:hyperlink r:id="rId41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НБКР от № 32/2 30.10.2006 г. "О </w:t>
      </w:r>
      <w:hyperlink r:id="rId42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ноября 2006 года № 38/1;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r:id="rId43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30.10.06 года № 32/2 "О </w:t>
      </w:r>
      <w:hyperlink r:id="rId44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29 июня 2007 года № 33/1;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</w:t>
      </w:r>
      <w:hyperlink r:id="rId45" w:tooltip="https://cbd.minjust.gov.kg/8-195/edition/33101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дополнений в </w:t>
      </w:r>
      <w:hyperlink r:id="rId46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30.10.06 г. № 32/2 "О </w:t>
      </w:r>
      <w:hyperlink r:id="rId47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30.11.06 г., регистрационный номер 120-06" от 25 апреля 2008 года № 18/2;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</w:t>
      </w:r>
      <w:hyperlink r:id="rId48" w:tooltip="https://cbd.minjust.gov.kg/8-248/edition/33139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r:id="rId49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30 октября 2006 года № 32/2 "О </w:t>
      </w:r>
      <w:hyperlink r:id="rId50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 ноября 2006 года, регистрационный номер 120-06" от 17 декабря 2008 года № 47/3;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7) в </w:t>
      </w:r>
      <w:hyperlink r:id="rId51" w:tooltip="https://cbd.minjust.gov.kg/8-1/edition/5584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августа 2013 года № 32/8: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пункта 1;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I </w:t>
      </w:r>
      <w:hyperlink r:id="rId52" w:tooltip="https://cbd.minjust.gov.kg/8-1/edition/5584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8) </w:t>
      </w:r>
      <w:hyperlink r:id="rId53" w:tooltip="https://cbd.minjust.gov.kg/8-503/edition/58212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дополнения в </w:t>
      </w:r>
      <w:hyperlink r:id="rId54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hyperlink r:id="rId55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11 июня 2014 года № 25/9;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9) в </w:t>
      </w:r>
      <w:hyperlink r:id="rId56" w:tooltip="https://cbd.minjust.gov.kg/8-507/edition/57000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16 июля 2014 года № 32/6: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третий пункта 1;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 </w:t>
      </w:r>
      <w:hyperlink r:id="rId57" w:tooltip="https://cbd.minjust.gov.kg/8-507/edition/57000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10) в </w:t>
      </w:r>
      <w:hyperlink r:id="rId58" w:tooltip="https://cbd.minjust.gov.kg/8-574/edition/118464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двадцать пятый пункта 1;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24 </w:t>
      </w:r>
      <w:hyperlink r:id="rId59" w:tooltip="https://cbd.minjust.gov.kg/8-574/edition/118464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11)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</w:t>
      </w:r>
      <w:hyperlink r:id="rId60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hyperlink r:id="rId61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28 сентября 2016 года № 40/4;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12) в </w:t>
      </w:r>
      <w:r>
        <w:rPr>
          <w:rFonts w:ascii="Arial" w:hAnsi="Arial" w:eastAsia="Arial" w:cs="Arial"/>
          <w:sz w:val="24"/>
          <w:szCs w:val="24"/>
        </w:rPr>
        <w:t xml:space="preserve">постановлении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21 декабря 2016 года № 49/8: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четвертый пункта 1;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3 </w:t>
      </w:r>
      <w:r>
        <w:rPr>
          <w:rFonts w:ascii="Arial" w:hAnsi="Arial" w:eastAsia="Arial" w:cs="Arial"/>
          <w:sz w:val="24"/>
          <w:szCs w:val="24"/>
        </w:rPr>
        <w:t xml:space="preserve">Приложения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13) в </w:t>
      </w:r>
      <w:hyperlink r:id="rId62" w:tooltip="https://cbd.minjust.gov.kg/8-663/edition/90090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21/10: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шестой пункта 1;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 </w:t>
      </w:r>
      <w:hyperlink r:id="rId63" w:tooltip="https://cbd.minjust.gov.kg/8-663/edition/90090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14)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изменения в </w:t>
      </w:r>
      <w:hyperlink r:id="rId64" w:tooltip="https://cbd.minjust.gov.kg/8-131/edition/56997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</w:t>
      </w:r>
      <w:hyperlink r:id="rId65" w:tooltip="https://cbd.minjust.gov.kg/46-3421/edition/89600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27 декабря 2017 года № 2017-П-12/54-12-(БС);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15) в </w:t>
      </w:r>
      <w:hyperlink r:id="rId66" w:tooltip="https://cbd.minjust.gov.kg/8-641/edition/89688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марта 2018 года № 2018-П-12/10-6-(БС):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пункта 1;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 </w:t>
      </w:r>
      <w:hyperlink r:id="rId67" w:tooltip="https://cbd.minjust.gov.kg/8-641/edition/89688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16) в </w:t>
      </w:r>
      <w:hyperlink r:id="rId68" w:tooltip="https://cbd.minjust.gov.kg/8-853/edition/103610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69" w:tooltip="https://cbd.minjust.gov.kg/860284/edition/109000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доходов",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ррористической деятельности и легализации (отмыванию) преступных доходов" от 14 августа 2019 года № 2019-П-12/42-1-(НПА):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четырнадцатый пункта 3;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13 </w:t>
      </w:r>
      <w:hyperlink r:id="rId70" w:tooltip="https://cbd.minjust.gov.kg/8-853/edition/103610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17) в </w:t>
      </w:r>
      <w:r>
        <w:rPr>
          <w:rFonts w:ascii="Arial" w:hAnsi="Arial" w:eastAsia="Arial" w:cs="Arial"/>
          <w:sz w:val="24"/>
          <w:szCs w:val="24"/>
        </w:rPr>
        <w:t xml:space="preserve">постановлении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23 сентября 2020 года № 2020-П-12/51-1-(НПА):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пункта 1;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 </w:t>
      </w:r>
      <w:r>
        <w:rPr>
          <w:rFonts w:ascii="Arial" w:hAnsi="Arial" w:eastAsia="Arial" w:cs="Arial"/>
          <w:sz w:val="24"/>
          <w:szCs w:val="24"/>
        </w:rPr>
        <w:t xml:space="preserve">Приложения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18) в </w:t>
      </w:r>
      <w:r>
        <w:rPr>
          <w:rFonts w:ascii="Arial" w:hAnsi="Arial" w:eastAsia="Arial" w:cs="Arial"/>
          <w:sz w:val="24"/>
          <w:szCs w:val="24"/>
        </w:rPr>
        <w:t xml:space="preserve">постановлении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16 ноября 2022 года № 2022-П-12/70-1-(НПА):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третий пункта 1;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двенадцатый пункта 1;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 </w:t>
      </w:r>
      <w:r>
        <w:rPr>
          <w:rFonts w:ascii="Arial" w:hAnsi="Arial" w:eastAsia="Arial" w:cs="Arial"/>
          <w:sz w:val="24"/>
          <w:szCs w:val="24"/>
        </w:rPr>
        <w:t xml:space="preserve">Приложения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11 </w:t>
      </w:r>
      <w:r>
        <w:rPr>
          <w:rFonts w:ascii="Arial" w:hAnsi="Arial" w:eastAsia="Arial" w:cs="Arial"/>
          <w:sz w:val="24"/>
          <w:szCs w:val="24"/>
        </w:rPr>
        <w:t xml:space="preserve">Приложения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19) </w:t>
      </w:r>
      <w:hyperlink r:id="rId71" w:tooltip="https://cbd.minjust.gov.kg/860284/edition/109000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формированию финансовой отчетности ЗАО "ЭкоИсламикБанк" по результатам операций, осуществляемых в рамках реализации пилотного проекта по внедрению исламских принципов финансирования в Кыргызской Республике" от 31 мая 2017 года № 21/14.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Юридическому управлению: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(трёх) рабочих дней опубликовать настоящее постановление на официальном интернет-сайте Национального банка Кыргызской Республики;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Настоящее постановление вступает в силу по истечении 15 (пятнадцати) дней со дня официального опубликования.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 Управлению методологии надзора в течение 3 (трёх) рабочих дней со дня официального опубликования довести настоящее постановление до сведения коммерческих банков, небанковских финансово-кредитных организаций, ОЮЛ "Союз банков Кыргызстана", ОЮЛ "Ассоциация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микрофинансовых организаций", ОАО "Финансовая компания кредитных союзов", ОЮЛ "Национальная ассоциация кредитных союзов и кооперативов".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Отделу "Секретариат Правления" в течение 3 (трех) рабочих дней довести настоящее постановление до сведения управления банковского надзора, управления надзора за небанковскими организациями, управления лицензирования, областных управлений и Представитель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ства Национального банка Кыргызской Республики в Баткенской области.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803"/>
        <w:gridCol w:w="2651"/>
        <w:gridCol w:w="511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68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</w:t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16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М.Тургунбаев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 к постановлению Правления Национального банка Кыргызской Республики от 12 сентября 2025 года № 2025-П-12/46-1-(НПА)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/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72" w:tooltip="https://cbd.minjust.gov.kg/8-99/edition/9141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основных требованиях к Комитету по аудиту" от 20 ноября 2003 года № 32/7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73" w:tooltip="https://cbd.minjust.gov.kg/8-99/edition/9141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Комитету по аудиту, утвержденных вышеуказанным </w:t>
      </w:r>
      <w:hyperlink r:id="rId74" w:tooltip="https://cbd.minjust.gov.kg/8-99/edition/9141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пятый пункта 2.2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порядок взаимодействия с Советом директоров, руководством банка, внутренними и внешними аудиторами,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девятнадцатый пункта 6.1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в банках, осуществляющих операции в соответствии с исламскими принципами банковского дела и финансирования - анализировать и оценивать деятельность банка по соблюдению стандартов Шариата, а также на основе отчетов уполномоченного структурного подразделе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ния по внутреннему шариатскому аудиту (или уполномоченного внутреннего аудитора).";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7.1.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"7.1. Порядок взаимодействия Комитета с Советом директоров, руководством банка, внутренним и внешним аудитором, для банков, осуществляющих операции в соответствии с исламскими принципами банковского дела и финансирования также и с Комитетом по управлению 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редствами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 должен определяться каждым банком самостоятельно и в соответствии с нормат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ивными правовыми актами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третий пункта 7.2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взаимодействие Комитета с руководством банка, внутренним и внешним аудитором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 держателей инвестицион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 должно определяться исходя из прав и обязанностей Комитета.".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75" w:tooltip="https://cbd.minjust.gov.kg/8-54/edition/4566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Перечне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хранения" от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27 августа 2004 года № 22/9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76" w:tooltip="https://cbd.minjust.gov.kg/8-398/edition/45665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хранения, утвержденном вышеуказанным </w:t>
      </w:r>
      <w:hyperlink r:id="rId77" w:tooltip="https://cbd.minjust.gov.kg/8-54/edition/4566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7 после слов "наблюдательного совета;" дополнить словами "Шариатского совета;".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Внести в </w:t>
      </w:r>
      <w:hyperlink r:id="rId78" w:tooltip="https://cbd.minjust.gov.kg/8-275/edition/43616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</w:t>
      </w:r>
      <w:hyperlink r:id="rId79" w:tooltip="https://cbd.minjust.gov.kg/22-440/edition/43635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14 октября 2009 года № 41/4 следующее изменени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80" w:tooltip="https://cbd.minjust.gov.kg/22-440/edition/43635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финансирования, утвержденной вышеуказанным </w:t>
      </w:r>
      <w:hyperlink r:id="rId81" w:tooltip="https://cbd.minjust.gov.kg/8-275/edition/43616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3.1.1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"3.1.1. По состоянию на конец операционного дня открытая длинная/короткая валютная позиция банка по каждой иностранной валюте не должна превышать: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для валют государств, являющихся членами ОЭСР и/или для валют стран, подписавших статью 8 Статей соглашения с МВФ - 15% от чистого суммарного капитала банка.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Примечание: ОЭСР - Организация экономического сотрудничества и развития.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Перечень государств - членов ОЭСР размещен на официальном сайте www.oecd.org. Перечень стран, подписавших 8 статью "Статей соглашения" с МВФ размещен на официальном сайте www.imf.org;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для валют стран, не подписавших статью 8 Статей соглашения с МВФ - 0% от чистого суммарного капитала банка (закрытая позиция).";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седьмой пункта 6.2 после слов "внутреннему аудиту" дополнить словами "и внутреннему шариатскому аудиту".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Внести в </w:t>
      </w:r>
      <w:hyperlink r:id="rId82" w:tooltip="https://cbd.minjust.gov.kg/8-289/edition/5699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83" w:tooltip="https://cbd.minjust.gov.kg/22-441/edition/10576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от 28 декабря 2009 года № 51/4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84" w:tooltip="https://cbd.minjust.gov.kg/22-441/edition/10576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r:id="rId85" w:tooltip="https://cbd.minjust.gov.kg/8-289/edition/5699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24: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третий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"а) банкноты и монеты Кыргызской Республики, государств, являющихся членами ЕАЭС и ОЭСР, 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абзацы седьмой и восьмой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"г) требования к центральным (национальным) банкам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требования к правительствам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 (исламские ценные бумаги, выпущенные правительствами);";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одиннадцатый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"ж) активы (или их часть) с обеспечением, выраженным в валюте государств, являющихся членами ЕАЭС и ОЭСР, а также государств, имеющих долгосрочный суверенный кредитный рейтинг не ниже уровня "А", который присвоен рейтинговым агентством Standard &amp; Poor's,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а также находящиеся на отдельном депозитном счете;";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пятнадцатый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"б) активы (или их часть), обеспеченные исламскими ценными бумагами по текущей рыночной цене и выпущенные правительствами государств, имеющих долгосрочный суверенный кредитный рейтинг не ниже уровня "А", который присвоен рейтинговым агентством Standard &amp; P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девятнадцатый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"в) денежные активы в расчетах с банками и другими финансово-кредитными организациями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двадцать первый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"д) требования к банкам и другим финансово-кредитным организациям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ОЭСР, которые не являются аффилированными организациями по отношению к отчитывающемуся банку, а также все активы, основанные на гара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нтиях данных институтов;";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абзацы тридцать второй, тридцать третий, тридцать четвертый и тридцать пятый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"б) требования к правительствам и центральным банкам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рейтинговых 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 (ценные бумаги, выпущенные правительствами этих государств и другие требования);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денежные активы в расчетах с банками и другими финансово-кредитными организациями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требования к банкам и другим финансово-кредитным организациям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ОЭСР, которые являются аффилированными организациями по отношению к отчитывающемуся банку;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требования к банкам и другим финансово-кредитным организациям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ОЭСР;".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Внести в </w:t>
      </w:r>
      <w:hyperlink r:id="rId86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87" w:tooltip="https://cbd.minjust.gov.kg/46-3532/edition/10813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r:id="rId88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пункта 27 признать утратившим силу;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27-1 признать утратившим силу;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27-2 дополнить предложением вторым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"При снижении наценки/дохода (в годовом, номинальном процентном значении) по действующему активу, несущему в себе кредитный риск (без ухудшения финансового положения клиента), до уровня, не превышающего на день снижения размер предельно допустимой процентн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ой ставки, установленной </w:t>
      </w:r>
      <w:hyperlink r:id="rId89" w:tooltip="https://cbd.minjust.gov.kg/4-4900/edition/1014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Кыргызской Республики "Об ограничении ростовщической деятельности в Кыргызской Республике", классификация по данному активу со дня снижения наценки/дохода (в годовом, номинальном процентном значении) должна проводиться в соответствии с требованиями настоя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щего Положения.";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90" w:tooltip="https://cbd.minjust.gov.kg/46-3532/edition/1081338/ru#g9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главу 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дополнить пунктами 36-1, 36-2 и 36-3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"36-1. Для целей настоящего Положения инвестиции банка в ценные бумаги и/или капитал компании подразделяются на рыночные и нерыночные.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36-2. Рыночные ценные бумаги не подлежат классификации, если банк сможет представить соответствующую достоверную документацию о том, что рынки, на которых они котируются, и сам рынок этих ценных бумаг являются развитыми, эффективными, транспарентными, что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позволяет определить справедливую стоимость этих ценных бумаг.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Не подлежат классификации другие ценные бумаги, включенные в листинги фондовых бирж Кыргызской Республики по наивысшей и следующей за наивысшей категорией листинга при условии соблюдения минимальных требований, установленных </w:t>
      </w:r>
      <w:hyperlink r:id="rId91" w:tooltip="https://cbd.minjust.gov.kg/46-3532/edition/10813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настоящему Положению.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36-3. Нерыночные инвестиции в ценные бумаги и/или капитал компании классифицируются, как минимум, как сомнительные в случае отсутствия информации об инвестируемой компании, включая финансовую отчетность, анализ будущих потоков денежных средств, положение 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 рынке, бизнес-план компании и другую информацию, которая позволит оценивать качество этих инвестиций.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Нерыночные инвестиции в ценные бумаги классифицируются, как минимум, как "актив под наблюдением" с созданием РППУ в размере от 5% до 15% в случае наличия информации об инвестируемой компании, ее финансовой отчетности и если проведен анализ будущих потоков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денежных средств, положения компании на рынке, бизнес-плана компании, а также другой информации, которая позволит оценить качество этих инвестиций с документальным подтверждением.";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второй пункта 40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"Примечание: Эквивалентный рейтинг, который присвоен рейтинговым агентством Standard &amp; Poors (США), или равнозначный рейтинг, который присвоен одним из рейтинговых агентств Japan Credit Rating Agency (JCR), Fitch Ratings, Dominion Bond Ratings Service (DBR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S)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 </w:t>
      </w:r>
      <w:hyperlink r:id="rId92" w:tooltip="https://cbd.minjust.gov.kg/46-3532/edition/10813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 Наличие у эмитента/оригинатора ценных бумаг инвестиционного рейтинга не ниже "ВВВ" или "Ваа2", который присвоен одним из рейтинговых агентств Standard &amp; Poor’s, Fitch Ratings, Moody’s Investors Service и другими рейтинговыми агентствами, соответствующи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Внести в </w:t>
      </w:r>
      <w:hyperlink r:id="rId93" w:tooltip="https://cbd.minjust.gov.kg/8-405/edition/11151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4" w:tooltip="https://cbd.minjust.gov.kg/8-406/edition/111520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12 октября 2012 года № 40/1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95" w:tooltip="https://cbd.minjust.gov.kg/8-406/edition/111520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финансирования", утвержденной вышеуказанным </w:t>
      </w:r>
      <w:hyperlink r:id="rId96" w:tooltip="https://cbd.minjust.gov.kg/8-405/edition/11151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8: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2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"2) средства, размещенные в коммерческих банках, имеющих долгосрочный кредитный рейтинг не ниже "ВВВ", который присвоен рейтинговым агентством Standard &amp; Poor’s, или равнозначный рейтинг, который присвоен одним из рейтинговых агентств Fitch Ratings, Moody’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s Investors Service, Japan Credit Rating Agency (JCR), Dominion Bond Rating Service (DBRS)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а также кредиты, гарантированные такими банками. Для того чтобы подпадать под это исключение, исламский банк должен иметь соответствующую документацию, под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тверждающую присвоенный рейтинг, в частности название рейтингового агентства, даты первоначального присвоения рейтинга и последнего подтверждения присвоенного рейтинга, приемлемый источник информации о рейтинге, а также последний годовой отчет банка-коррес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пондента;";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4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"4) требования к правительствам или центральным банкам, имеющим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подпункты 5 и 6 пункта 9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"5) требования, гарантированные правительствами или центральными банками, имеющими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гарантированные международными финансовыми институтами (ЕБРР, АБР и др.);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забалансовые обязательства, принятые исламским банком, по которым бенефициаром являются центральные банки или правительства, имеющие долгосрочный суверенный кредитный рейтинг не ниже уровня "А", который присвоен рейтинговым агентством Standard &amp; Poor's,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или равнозначный рейтинг, который присвоен одним из 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вленным пунктом 3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2022-П-12/78-7-(НПА);".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 Внести в </w:t>
      </w:r>
      <w:hyperlink r:id="rId97" w:tooltip="https://cbd.minjust.gov.kg/8-455/edition/778027/ru?editionCode=exact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r:id="rId98" w:tooltip="https://cbd.minjust.gov.kg/46-3571/edition/1085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99" w:tooltip="https://cbd.minjust.gov.kg/46-3571/edition/108515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r:id="rId100" w:tooltip="toktom://db/120771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первом пункта 12 после слов "внутреннего аудита" дополнить словами "и внутреннего шариатского аудита";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пункте 16: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четвертый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порядок взаимодействия с Советом директоров, Правлением и комитетами банка;";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абзацами пятым и шестым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сматривать и принимать решение по вопросам повестки дня, если на заседании присутствуют 2/3 членов Шариатского совета;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досрочного прекращения полномочий членов Шариатского совета.";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предложение второе пункта 71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"Независимая оценка активов на соответствие стандартам шариата должна проводиться отделом внутреннего шариатского аудита (или уполномоченным внутренним аудитором).".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 Внести в </w:t>
      </w:r>
      <w:hyperlink r:id="rId101" w:tooltip="https://cbd.minjust.gov.kg/8-467/edition/5062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02" w:tooltip="https://cbd.minjust.gov.kg/46-3453/edition/9281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03" w:tooltip="https://cbd.minjust.gov.kg/46-3453/edition/9281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непривлекающих вклады (депозиты)", утвержденном вышеуказанным </w:t>
      </w:r>
      <w:hyperlink r:id="rId104" w:tooltip="https://cbd.minjust.gov.kg/8-467/edition/506266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hyperlink r:id="rId105" w:tooltip="https://cbd.minjust.gov.kg/46-3453/edition/928154/ru#r8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раздел 8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"Особенности управления кредитным риском в МФО, осуществляющих операции по исламским принципам банковского дела и финансирования" дополнить пунктом 45-1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"45-1. Положение о Шариатском совете должно определять: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полномочия и ответственность Шариатского совета;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взаимодействия с органами управления и Кредитным комитетом (или уполномоченным должностным лицом);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матривать и принимать решение по вопросам повестки дня, если на заседании присутствуют 2/3 членов Шариатского совета;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досрочного прекращения полномочий членов Шариатского совета.".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9. Внести в </w:t>
      </w:r>
      <w:hyperlink r:id="rId106" w:tooltip="https://cbd.minjust.gov.kg/8-473/edition/6510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r:id="rId107" w:tooltip="https://cbd.minjust.gov.kg/46-3576/edition/50118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от 23 декабря 2013 года № 52/7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08" w:tooltip="https://cbd.minjust.gov.kg/46-3576/edition/50118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финансирования, утвержденном вышеуказанным </w:t>
      </w:r>
      <w:hyperlink r:id="rId109" w:tooltip="https://cbd.minjust.gov.kg/8-473/edition/6510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8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"8. Положение о Шариатском совете должно определять: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полномочия и ответственность Шариатского совета;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взаимодействия с Правлением и Комитетом по финансированию;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матривать и принимать решение по вопросам повестки дня, если на заседании присутствуют 2/3 членов Шариатского совета;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досрочного прекращения полномочий членов Шариатского совета.".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10. Внести в </w:t>
      </w:r>
      <w:hyperlink r:id="rId110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r:id="rId111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12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r:id="rId113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предложение первое пункта 8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"8. МФО осуществляет внутренний аудит с целью проверки достоверности счетов, оценки адекватности и эффективности своей системы внутреннего контроля и соответствия ее нормативным правовым актам Кыргызской Республики, а также стандартам шариата.".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от 31 мая 2017 года № 21/13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седьмом пункта 8 слово "заключение" заменить словом "отчет";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наименовании </w:t>
      </w:r>
      <w:r>
        <w:rPr>
          <w:rFonts w:ascii="Arial" w:hAnsi="Arial" w:eastAsia="Arial" w:cs="Arial"/>
          <w:sz w:val="24"/>
          <w:szCs w:val="24"/>
        </w:rPr>
        <w:t xml:space="preserve">главы 8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"Заключение Шариатского совета" слово "Заключение" заменить словом "Отчет";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56 слово "Заключение" заменить словом "Отчет";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57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"57. Отчет Шариатского совета должен включать информацию: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 изданных шариатских решениях (фетв), заключениях;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 обзоре и мониторинге контрактов, сделок и операций банка;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соответствии распределения прибыли и начисления убытков, относящихся к инвестиционным счетам;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средствах, направленных на благотворительность;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подтверждение соблюдения банком стандартов шариата;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другую информацию.";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шестом пункта 70 слово "заключение" заменить словом "отчет";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r>
        <w:rPr>
          <w:rFonts w:ascii="Arial" w:hAnsi="Arial" w:eastAsia="Arial" w:cs="Arial"/>
          <w:sz w:val="24"/>
          <w:szCs w:val="24"/>
        </w:rPr>
        <w:t xml:space="preserve">Приложение 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признать утратившим силу.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12.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Республики" от 15 июня 2017 года № 2017-П-12/25-3-(НПА) следующие изменени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Правилах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Республики, утвержденных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пункт 3: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абзацами третьим и четвертым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"Внутренний шариатский аудит - это деятельность (независимая экспертная функция) независимого уполномоченного структурного подразделения по внутреннему шариатскому аудиту (или уполномоченного аудитора) (далее - служба внутреннего шариатского аудита), созда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нного для проведения внутреннего аудита и содействия органам управления, Шариатскому совету банка в обеспечении эффективного шариатского управления банка на основе объективной оценки и рекомендаций по совершенствованию системы внутреннего контроля банка, п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 проверке и оценке достаточности (адекватности) и эффективности системы внутреннего контроля банка в части операций и деятельности банка, осуществляемой в соответствии с исламскими принципами банковского дела и финансирования.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Внутренний контроль по соблюдению стандартов шариата - непрерывный процесс, проводимый банком в целях обеспечения упорядоченного и эффективного осуществления операций и деятельности, осуществляемой в соответствии исламским принципам банковского дела и фина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нсирования, согласно требованиям законодательства Кыргызской Республики, внутренним документам банка и стандартам шариата.";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"4. Организация системы управления рисками формируется в соответствии с требованиями положений "О минимальных требованиях по управлению рисками в банках Кыргызской Республики" </w:t>
      </w:r>
      <w:hyperlink r:id="rId114" w:tooltip="https://cbd.minjust.gov.kg/8-653/edition/91425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15 июня 2017 года № 2017-П-12/25-8-(НПА)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</w:t>
      </w:r>
      <w:hyperlink r:id="rId115" w:tooltip="https://cbd.minjust.gov.kg/8-662/edition/9009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18 июля 2018 года № 2018-П-12/30-3-(БС)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9 слова "внутреннего аудита" заменить словами "внутреннего аудита, внутреннего шариатского аудита";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подпункте 3 пункта 10: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четырнадцатый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 своевременности, полноте и качестве устранения Правлением банка нарушений и недостатков, выявленных службой комплаенс-контроля, внутренним аудитором, внутренним шариатским аудитором, внешним аудитором, уполномоченным структурным подразделением по конт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ролю соблюдения стандартов шариата и органами банковского надзора;";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пятнадцатый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об исполнении Правлением банка рекомендаций служб комплаенс-контроля, риск-менеджмента, внутреннего аудита, внутреннего шариатского аудита, а также внешнего аудита, уполномоченного структурного подразделения по контролю соблюдения стандартов шариата и 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рганов банковского надзора.";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19 дополнить абзацем третьим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контроль, осуществляемый Шариатским советом, путем получения отчетов служб риск-менеджмента, внутреннего шариатского аудита и уполномоченного структурного подразделения по контролю соблюдения стандартов шариата;";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27 дополнить предложениями следующих содержаний: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"В банке, осуществляющем операции по исламским принципам банковского дела и финансирования, на постоянной основе дополнительно действуют служба внутреннего шариатского аудита и уполномоченное подразделение по контролю соблюдения стандартов шариата (далее -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подразделение по контролю соблюдения стандартов шариата). В банке, имеющем "исламское окно", может быть предусмотрено, что шариатский контролер и шариатский аудитор могут входить в состав подразделений при условии наделения этих подразделений функциями ко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нтроля соблюдения стандартов шариата и внутреннего шариатского аудита.";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одиннадцатый пункта 39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"Работники службы внутреннего аудита должны обладать знаниями Международных стандартов аудита и Международных стандартов финансовой отчетности;";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41 признать утратившим силу;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раздел 6 признать утратившим силу;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</w:t>
      </w:r>
      <w:r>
        <w:rPr>
          <w:rFonts w:ascii="Arial" w:hAnsi="Arial" w:eastAsia="Arial" w:cs="Arial"/>
          <w:sz w:val="24"/>
          <w:szCs w:val="24"/>
        </w:rPr>
        <w:t xml:space="preserve">разделом 7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sz w:val="24"/>
          <w:szCs w:val="24"/>
        </w:rPr>
        <w:t xml:space="preserve">7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Организация уполномоченного структурного подразделения по контролю соблюдения стандартов шариата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57. В целях эффективного выполнения банком решений Шариатского совета Совет директоров банка по рекомендации Шариатского совета создает подразделение по контролю соблюдения стандартов шариата (либо назначает сотрудника, ответственного за контроль соблюдени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 стандартов шариата в банке). Совет директоров банка с учетом рекомендаций Шариатского совета назначает руководителя подразделения по контролю соблюдения стандартов шариата и ее работников, определяет размер оплаты труда, а также определяет количественный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 персональный состав данной службы.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58. Во избежание конфликта интересов в функции руководителя подразделения по контролю соблюдения стандартов шариата не должно быть включено управление деятельностью подразделений (бизнес-линиями, бизнес-процессами) и работников банка, генерирующих риски (з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 исключением операционного, репутационного, стратегического рисков), осуществляющих управление рисками, ответственных за бухгалтерский учет и финансовую отчетность в банке, включая управление службой внутреннего аудита.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59. Работники подразделений банка должны оказывать подразделению по контролю соблюдения стандартов шариата содействие в осуществлении им своих функций. Правление банка по представлению руководителя подразделения по контролю соблюдения стандартов шариата ус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танавливает порядок взаимодействия структурных подразделений банка с подразделением по контролю соблюдения стандартов шариата.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60. Правление банка получает от подразделения по контролю соблюдения стандартов шариата информацию о нарушениях и недостатках, выявленных в процессе деятельности по исламским принципам банковского дела и финансирования, с указанием причин их возникновения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 рекомендаций по их устранению.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Правление банка по результатам анализа полученной информации обеспечивает принятие корректирующих или дисциплинарных мер, направленных на устранение выявленных недостатков.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 итогам проведенной работы по устранению выявленных недостатков руководитель подразделения по контролю соблюдения стандартов шариата предоставляет отчет Шариатскому совету, а также Совету директоров банка по мере необходимости, но не реже одного раза в к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вартал.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61. Подразделение по контролю соблюдения стандартов шариата оперативно информирует Шариатский совет и Совет директоров банка о любых существенных нарушениях (событиях, сделках), которые могут привести к возникновению риска несоблюдения шариата.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62. Подразделение по контролю соблюдения стандартов шариата осуществляет, но не ограничивается следующими функциями: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выполняет функции секретаря Шариатского совета (подготовка, организация и введение протокола заседаний Шариатского совета, контроль за выполнением решений (фетв) Шариатского совета);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консультирует по вопросам шариата на основании решений (фетв) и резолюций Шариатского совета (договоры, политики, внутренние процедуры, запросы и вопросы, связанные со стандартами шариата, рекламные материалы и публикации, по продуктам банка, и другие 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опросы, связанные со стандартами шариата, с которыми сталкивается банк);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обращается в Шариатский совет по всем вопросам, которые он рассматривает, и по всем задачам, которые он выполняет, если только по этим вопросам ранее не были приняты решения (фетвы);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проводит исследование по соответствующим вопросам и процедурам по запросу Шариатского совета;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участвует в разработке продуктов, политик, процедур и договоров банка;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содействует Правлению банка и службе риск-менеджмента в управлении риском несоблюдения стандартов шариата;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7) осуществляет контроль за организацией работы банка по рассмотрению жалоб (заявлений) клиентов банка по деятельности в соответствии с исламскими принципами банковского дела и финансирования;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8) осуществляет контроль за организацией работы банка по ознакомлению всех работников банка с требованиями внутренних документов банка, регламентирующих порядок оказания банковских услуг и проведения банковских операций в соответствии со стандартами шариат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9) организует обучение органов управления и работников банка по вопросам соблюдения стандартов шариата, исламских принципов банковского дела и финансирования;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10) проводит мониторинг соблюдения банком и его работниками решений (фетв) Шариатского совета;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11) проводит текущий контроль соответствия операций, осуществляемых по исламским принципам банковского дела и финансирования, стандартам шариата, до внутреннего шариатского аудита.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Функция контроля соблюдения банком стандартов шариата не должна передаваться сторонним организациям на аутсорсинг.";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</w:t>
      </w:r>
      <w:r>
        <w:rPr>
          <w:rFonts w:ascii="Arial" w:hAnsi="Arial" w:eastAsia="Arial" w:cs="Arial"/>
          <w:sz w:val="24"/>
          <w:szCs w:val="24"/>
        </w:rPr>
        <w:t xml:space="preserve">разделом 8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sz w:val="24"/>
          <w:szCs w:val="24"/>
        </w:rPr>
        <w:t xml:space="preserve">8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Организация внутреннего шариатского аудита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63. Для объективной оценки эффективности функционирования систем внутреннего контроля за соблюдением стандартов шариата и управления рисками несоблюдения стандартов шариата в деятельности банка, в целях обеспечения эффективной деятельности банка, осуществл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яемой в соответствии с исламскими принципами банковского дела и финансирования, и предоставления действенных рекомендаций по ее улучшению, Совет директоров создает внутренний шариатский аудит (либо назначает сотрудника, ответственного за проведение внутрен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него шариатского аудита в банке).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64. Деятельность службы внутреннего шариатского аудита должна быть организована аналогично деятельности службы внутреннего аудита в соответствии с главой 5 "Организация внутреннего аудита банка" и с учетом требований настоящей главы.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65. В банке, осуществляющем операции в соответствии с исламскими принципами банковского дела и финансирования, внутренний шариатский аудитор проверяет операции и деятельность, осуществляемую по исламским принципам банковского дела и финансирования, включая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соблюдение стандартов шариата и предоставляет отчеты Совету директоров, Шариатскому совету, Комитету по аудиту и копию - Правлению банка.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66. Деятельность службы внутреннего шариатского аудита должна регулироваться внутренним документом банка, в котором, как минимум, должны определяться: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цель и сфера деятельности службы внутреннего шариатского аудита;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принципы (стандарты) и методы деятельности службы внутреннего шариатского аудита;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задачи, функции, права и обязанности службы внутреннего шариатского аудита, включая его работников и руководителя;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условия и порядок информирования службой внутреннего шариатского аудита Совета директоров, Шариатского совета, Комитета по аудиту, Правления банка, а также руководителя подразделения банка, в котором проводился внутренний шариатский аудит, о результатах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проверок службы внутреннего шариатского аудита;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ответственность руководителя службы внутреннего шариатского аудита за неисполнение (ненадлежащее исполнение) возложенных на него обязанностей;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взаимодействия службы внутреннего шариатского аудита с подразделением по контролю соблюдения стандартов шариата для координации и обмена своих выводов и отчетов;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взаимодействия службы внутреннего шариатского аудита со службой внутреннего аудита для координации и обмена своих выводов и отчетов;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порядок взаимодействия службы внутреннего шариатского аудита с подразделениями и работниками банка, полномочия службы внутреннего шариатского аудита по доступу в помещения банка, к документам банка, а также по получению от работников банка информации и 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азъяснений, которые могут потребоваться для осуществления службой внутреннего шариатского аудита своих функций.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67. Служба внутреннего шариатского аудита обязана: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разработать план работы службы внутреннего шариатского аудита, внести его на утверждение Советом директоров (наблюдательным советом) по согласованию с Шариатским советом (по вопросам соблюдения банком стандартов шариата), а также информировать Совет дире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кторов (наблюдательный совет), Шариатский совет (по вопросам соблюдения банком стандартов шариата) и Комитет по аудиту о его выполнении;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определять наиболее рисковые операции и направления деятельности (бизнес-линии, бизнес-процессы) для подготовки плана работы службы внутреннего шариатского аудита;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оценивать эффективность внутреннего шариатского контроля, взаимодействия структурных подразделений для обеспечения соответствия деятельности банка, осуществляемой по исламским принципам банковского дела и финансирования, стандартам шариата и внутренним 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ормативным требованиям банка;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контролировать соответствие деятельности банка политикам и процедурам банка, направленным на соблюдение банком стандартов шариата;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определять проведение регулярных выездных проверок филиалов банка для проверки соблюдения стандартов шариата филиалами банка, его подразделениями;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проверять соблюдение банковского законодательства и внутренних документов банка при осуществлении деятельности банка по исламским принципам банковского дела и финансирования;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проверять эффективность принятых мер по исправлению выявленных нарушений и недостатков в деятельности банка по результатам предыдущих проверок, а также проверок со стороны Национального банка и внешних аудиторов, в том числе в организации бизнес-процессо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в, внутреннего контроля и управления рисками, и выполнение рекомендаций по их совершенствованию;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информировать Комитет по аудиту, Шариатский совет и Правление банка о результатах проверок, проведенных службой внутреннего шариатского аудита;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информировать Комитет по аудиту и Правление банка об обеспечении соблюдения стандартов шариата в деятельности банка;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вносить свои предложения по повышению эффективности деятельности банка, включая внутренний контроль, контроль соблюдения стандартов шариата, управление рисками соблюдения стандартов шариата, организацию бизнес-процессов.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68. Программа проведения внутреннего шариатского аудита должна быть одобрена Комитетом по аудиту и Шариатским советом (в части вопросов, касающихся соблюдения стандартов шариата).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69. Аудиторский отчет должен: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напрямую направляться Шариатскому совету для принятия решений по вопросам шариата. После рассмотрения отчета с резолюцией Шариатского совета направляется Совету директоров и Комитету по аудиту. После рассмотрения Комитетом по аудиту данный отчет передает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ся Правлению банка.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70. На основании аудиторского отчета Комитет по аудиту утверждает план мероприятий по внедрению корректирующих мер в систему внутреннего контроля банка и предусматривает меры по отслеживанию эффективности и своевременности их внедрения, которые согласованы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Шариатским советом и одобрены Советом директоров.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71. Сотрудники службы шариатского аудита должны обладать знаниями Международных стандартов аудита, Международных стандартов финансовой отчетности, Международных стандартов финансовой отчетности и стандартов Организации бухгалтерского учета и аудита для исл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амских финансовых институтов (AAOIFI).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Функция контроля шариатского аудита не должна передаваться сторонним организациям на аутсорсинг.";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</w:t>
      </w:r>
      <w:r>
        <w:rPr>
          <w:rFonts w:ascii="Arial" w:hAnsi="Arial" w:eastAsia="Arial" w:cs="Arial"/>
          <w:sz w:val="24"/>
          <w:szCs w:val="24"/>
        </w:rPr>
        <w:t xml:space="preserve">разделом 9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rFonts w:ascii="Arial" w:hAnsi="Arial" w:eastAsia="Arial" w:cs="Arial"/>
          <w:sz w:val="24"/>
          <w:szCs w:val="24"/>
        </w:rPr>
        <w:t xml:space="preserve">9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Заключительные положения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72. Совет директоров банка обеспечивает доведение до руководящих работников банка и работников банка стратегии, политик и иных внутренних документов банка. Руководители структурных подразделений банка должны нести персональную ответственность за доведение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до своих работников важности функции внутреннего контроля и необходимости исполнения внутренних документов банка.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73. Совет директоров проводит оценку соответствия установленным квалификационным требованиям и требованиям к деловой репутации для руководителей служб комплаенс-контроля, внутреннего аудита, внутреннего шариатского аудита, риск-менеджмента с периодичностью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достаточной для обеспечения поддержания их квалификации и деловой репутации на должном уровне.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74. Национальный банк может проводить плановые и внеплановые беседы с руководителями служб комплаенс-контроля, риск-менеджмента, внутреннего аудита и внутреннего шариатского аудита по вопросам, связанным с деятельностью банка.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75. В случае увольнения руководителей служб внутреннего аудита, внутреннего шариатского аудита, комплаенс-контроля, риск-менеджмента банк обязан уведомить Национальный банк в течение трех рабочих дней о факте увольнения с описанием причины увольнения.".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13. Внести в </w:t>
      </w:r>
      <w:hyperlink r:id="rId116" w:tooltip="https://cbd.minjust.gov.kg/8-662/edition/9009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17" w:tooltip="https://cbd.minjust.gov.kg/46-3635/edition/9009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от 18 июля 2018 года № 2018-П-12/30-3-(БС)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18" w:tooltip="https://cbd.minjust.gov.kg/46-3635/edition/9009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119" w:tooltip="https://cbd.minjust.gov.kg/8-662/edition/9009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28 дополнить подпунктом 8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"8) обеспечить внедрение и соблюдение надежной системы шариатского управления и стандартов шариата.";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33 дополнить абзацем седьмым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"Следует обеспечить для каждого члена Шариатского совета профессиональное обучение и развитие, в том числе по вопросам банковской деятельности, банковского законодательства, международных стандартов.";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37 дополнить подпунктом 7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"7) обучение и информирование в отношении соблюдения стандартов шариата, ориентированные на все организационные уровни банка.".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финансирования" от 25 ноября 2020 года № 2020-П-12/67-3-(НПА)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финансирования, утвержденной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35 слово "Распределение" заменить словами "Порядок распределения";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36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"36. На полугодовой основе внутреннему шариатскому аудиту банка следует проводить выборочную проверку соблюдения и исполнения требований настоящей Инструкции. В случае выявления несоблюдений/нарушений служба внутреннего шариатского аудита (или уполномоченн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ый внутренний аудитор) обязана уведомить об этом руководство банка и Шариатский совет банка.".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15.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финансирования" от 14 февраля 2024 года № 2024-П-12/5-4-(НПА)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финансирования",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седьмой пункта 12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отчет Шариатского совета;";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37 слово "заключение" в соответствующих падежах заменить словом "отчет" в соответствующих падежах;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наименовании </w:t>
      </w:r>
      <w:r>
        <w:rPr>
          <w:rFonts w:ascii="Arial" w:hAnsi="Arial" w:eastAsia="Arial" w:cs="Arial"/>
          <w:sz w:val="24"/>
          <w:szCs w:val="24"/>
        </w:rPr>
        <w:t xml:space="preserve">главы 12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"Заключение Шариатского совета" слово "Заключение" заменить словом "Отчет";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93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"93. Отчет Шариатского совета должен содержать информацию: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 изданных шариатских решениях (фетв), заключениях;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 обзоре и мониторинге контрактов, сделок и операций НФКО;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средствах, направленных на благотворительность;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подтверждение соблюдения банком стандартов шариата;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другую информацию.";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94 слово "Заключение" заменить словом "Отчет";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95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"95. Отчет Шариатского совета формируется согласно пункту 94 настоящего Положения и представляется в составе годовой финансовой отчетности.";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шестой пункта 98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отчет Шариатского совета.";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</w:t>
      </w:r>
      <w:r>
        <w:rPr>
          <w:rFonts w:ascii="Arial" w:hAnsi="Arial" w:eastAsia="Arial" w:cs="Arial"/>
          <w:sz w:val="24"/>
          <w:szCs w:val="24"/>
        </w:rPr>
        <w:t xml:space="preserve">Приложение 4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по исламским принципам банковского дела и фин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ансирования" признать утратившим силу.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h="11906" w:orient="landscape" w:w="16838"/>
      <w:pgMar w:top="1701" w:right="1134" w:bottom="850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7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8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9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0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Title Char"/>
    <w:basedOn w:val="837"/>
    <w:link w:val="841"/>
    <w:uiPriority w:val="10"/>
    <w:pPr>
      <w:pBdr/>
      <w:spacing/>
      <w:ind/>
    </w:pPr>
    <w:rPr>
      <w:sz w:val="48"/>
      <w:szCs w:val="48"/>
    </w:rPr>
  </w:style>
  <w:style w:type="character" w:styleId="677">
    <w:name w:val="Subtitle Char"/>
    <w:basedOn w:val="837"/>
    <w:link w:val="858"/>
    <w:uiPriority w:val="11"/>
    <w:pPr>
      <w:pBdr/>
      <w:spacing/>
      <w:ind/>
    </w:pPr>
    <w:rPr>
      <w:sz w:val="24"/>
      <w:szCs w:val="24"/>
    </w:rPr>
  </w:style>
  <w:style w:type="character" w:styleId="678">
    <w:name w:val="Quote Char"/>
    <w:link w:val="863"/>
    <w:uiPriority w:val="29"/>
    <w:pPr>
      <w:pBdr/>
      <w:spacing/>
      <w:ind/>
    </w:pPr>
    <w:rPr>
      <w:i/>
    </w:rPr>
  </w:style>
  <w:style w:type="character" w:styleId="679">
    <w:name w:val="Intense Quote Char"/>
    <w:link w:val="865"/>
    <w:uiPriority w:val="30"/>
    <w:pPr>
      <w:pBdr/>
      <w:spacing/>
      <w:ind/>
    </w:pPr>
    <w:rPr>
      <w:i/>
    </w:rPr>
  </w:style>
  <w:style w:type="paragraph" w:styleId="680">
    <w:name w:val="Header"/>
    <w:basedOn w:val="827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basedOn w:val="837"/>
    <w:link w:val="680"/>
    <w:uiPriority w:val="99"/>
    <w:pPr>
      <w:pBdr/>
      <w:spacing/>
      <w:ind/>
    </w:pPr>
  </w:style>
  <w:style w:type="paragraph" w:styleId="682">
    <w:name w:val="Footer"/>
    <w:basedOn w:val="827"/>
    <w:link w:val="68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basedOn w:val="837"/>
    <w:link w:val="682"/>
    <w:uiPriority w:val="99"/>
    <w:pPr>
      <w:pBdr/>
      <w:spacing/>
      <w:ind/>
    </w:pPr>
  </w:style>
  <w:style w:type="character" w:styleId="684">
    <w:name w:val="Caption Char"/>
    <w:basedOn w:val="855"/>
    <w:link w:val="682"/>
    <w:uiPriority w:val="99"/>
    <w:pPr>
      <w:pBdr/>
      <w:spacing/>
      <w:ind/>
    </w:pPr>
  </w:style>
  <w:style w:type="table" w:styleId="685">
    <w:name w:val="Table Grid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Table Grid Light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1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2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1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2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3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5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6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1">
    <w:name w:val="footnote text"/>
    <w:basedOn w:val="827"/>
    <w:link w:val="81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2">
    <w:name w:val="Footnote Text Char"/>
    <w:link w:val="811"/>
    <w:uiPriority w:val="99"/>
    <w:pPr>
      <w:pBdr/>
      <w:spacing/>
      <w:ind/>
    </w:pPr>
    <w:rPr>
      <w:sz w:val="18"/>
    </w:rPr>
  </w:style>
  <w:style w:type="character" w:styleId="813">
    <w:name w:val="footnote reference"/>
    <w:basedOn w:val="837"/>
    <w:uiPriority w:val="99"/>
    <w:unhideWhenUsed/>
    <w:pPr>
      <w:pBdr/>
      <w:spacing/>
      <w:ind/>
    </w:pPr>
    <w:rPr>
      <w:vertAlign w:val="superscript"/>
    </w:rPr>
  </w:style>
  <w:style w:type="paragraph" w:styleId="814">
    <w:name w:val="endnote text"/>
    <w:basedOn w:val="827"/>
    <w:link w:val="81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5">
    <w:name w:val="Endnote Text Char"/>
    <w:link w:val="814"/>
    <w:uiPriority w:val="99"/>
    <w:pPr>
      <w:pBdr/>
      <w:spacing/>
      <w:ind/>
    </w:pPr>
    <w:rPr>
      <w:sz w:val="20"/>
    </w:rPr>
  </w:style>
  <w:style w:type="character" w:styleId="816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17">
    <w:name w:val="toc 1"/>
    <w:basedOn w:val="827"/>
    <w:next w:val="827"/>
    <w:uiPriority w:val="39"/>
    <w:unhideWhenUsed/>
    <w:pPr>
      <w:pBdr/>
      <w:spacing w:after="57"/>
      <w:ind w:right="0" w:firstLine="0" w:left="0"/>
    </w:pPr>
  </w:style>
  <w:style w:type="paragraph" w:styleId="818">
    <w:name w:val="toc 2"/>
    <w:basedOn w:val="827"/>
    <w:next w:val="827"/>
    <w:uiPriority w:val="39"/>
    <w:unhideWhenUsed/>
    <w:pPr>
      <w:pBdr/>
      <w:spacing w:after="57"/>
      <w:ind w:right="0" w:firstLine="0" w:left="283"/>
    </w:pPr>
  </w:style>
  <w:style w:type="paragraph" w:styleId="819">
    <w:name w:val="toc 3"/>
    <w:basedOn w:val="827"/>
    <w:next w:val="827"/>
    <w:uiPriority w:val="39"/>
    <w:unhideWhenUsed/>
    <w:pPr>
      <w:pBdr/>
      <w:spacing w:after="57"/>
      <w:ind w:right="0" w:firstLine="0" w:left="567"/>
    </w:pPr>
  </w:style>
  <w:style w:type="paragraph" w:styleId="820">
    <w:name w:val="toc 4"/>
    <w:basedOn w:val="827"/>
    <w:next w:val="827"/>
    <w:uiPriority w:val="39"/>
    <w:unhideWhenUsed/>
    <w:pPr>
      <w:pBdr/>
      <w:spacing w:after="57"/>
      <w:ind w:right="0" w:firstLine="0" w:left="850"/>
    </w:pPr>
  </w:style>
  <w:style w:type="paragraph" w:styleId="821">
    <w:name w:val="toc 5"/>
    <w:basedOn w:val="827"/>
    <w:next w:val="827"/>
    <w:uiPriority w:val="39"/>
    <w:unhideWhenUsed/>
    <w:pPr>
      <w:pBdr/>
      <w:spacing w:after="57"/>
      <w:ind w:right="0" w:firstLine="0" w:left="1134"/>
    </w:pPr>
  </w:style>
  <w:style w:type="paragraph" w:styleId="822">
    <w:name w:val="toc 6"/>
    <w:basedOn w:val="827"/>
    <w:next w:val="827"/>
    <w:uiPriority w:val="39"/>
    <w:unhideWhenUsed/>
    <w:pPr>
      <w:pBdr/>
      <w:spacing w:after="57"/>
      <w:ind w:right="0" w:firstLine="0" w:left="1417"/>
    </w:pPr>
  </w:style>
  <w:style w:type="paragraph" w:styleId="823">
    <w:name w:val="toc 7"/>
    <w:basedOn w:val="827"/>
    <w:next w:val="827"/>
    <w:uiPriority w:val="39"/>
    <w:unhideWhenUsed/>
    <w:pPr>
      <w:pBdr/>
      <w:spacing w:after="57"/>
      <w:ind w:right="0" w:firstLine="0" w:left="1701"/>
    </w:pPr>
  </w:style>
  <w:style w:type="paragraph" w:styleId="824">
    <w:name w:val="toc 8"/>
    <w:basedOn w:val="827"/>
    <w:next w:val="827"/>
    <w:uiPriority w:val="39"/>
    <w:unhideWhenUsed/>
    <w:pPr>
      <w:pBdr/>
      <w:spacing w:after="57"/>
      <w:ind w:right="0" w:firstLine="0" w:left="1984"/>
    </w:pPr>
  </w:style>
  <w:style w:type="paragraph" w:styleId="825">
    <w:name w:val="toc 9"/>
    <w:basedOn w:val="827"/>
    <w:next w:val="827"/>
    <w:uiPriority w:val="39"/>
    <w:unhideWhenUsed/>
    <w:pPr>
      <w:pBdr/>
      <w:spacing w:after="57"/>
      <w:ind w:right="0" w:firstLine="0" w:left="2268"/>
    </w:pPr>
  </w:style>
  <w:style w:type="paragraph" w:styleId="826">
    <w:name w:val="table of figures"/>
    <w:basedOn w:val="827"/>
    <w:next w:val="827"/>
    <w:uiPriority w:val="99"/>
    <w:unhideWhenUsed/>
    <w:pPr>
      <w:pBdr/>
      <w:spacing w:after="0" w:afterAutospacing="0"/>
      <w:ind/>
    </w:pPr>
  </w:style>
  <w:style w:type="paragraph" w:styleId="827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8">
    <w:name w:val="Heading 1"/>
    <w:basedOn w:val="827"/>
    <w:next w:val="827"/>
    <w:link w:val="846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9">
    <w:name w:val="Heading 2"/>
    <w:basedOn w:val="827"/>
    <w:next w:val="827"/>
    <w:link w:val="847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30">
    <w:name w:val="Heading 3"/>
    <w:basedOn w:val="827"/>
    <w:next w:val="827"/>
    <w:link w:val="848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31">
    <w:name w:val="Heading 4"/>
    <w:basedOn w:val="827"/>
    <w:next w:val="827"/>
    <w:link w:val="849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2">
    <w:name w:val="Heading 5"/>
    <w:basedOn w:val="827"/>
    <w:next w:val="827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3">
    <w:name w:val="Heading 6"/>
    <w:basedOn w:val="827"/>
    <w:next w:val="827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4">
    <w:name w:val="Heading 7"/>
    <w:basedOn w:val="827"/>
    <w:next w:val="827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5">
    <w:name w:val="Heading 8"/>
    <w:basedOn w:val="827"/>
    <w:next w:val="827"/>
    <w:link w:val="853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6">
    <w:name w:val="Heading 9"/>
    <w:basedOn w:val="827"/>
    <w:next w:val="827"/>
    <w:link w:val="854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table" w:styleId="8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paragraph" w:styleId="840" w:customStyle="1">
    <w:name w:val="Реквизит"/>
    <w:basedOn w:val="827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41">
    <w:name w:val="Title"/>
    <w:basedOn w:val="827"/>
    <w:link w:val="842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2" w:customStyle="1">
    <w:name w:val="Заголовок Знак"/>
    <w:basedOn w:val="837"/>
    <w:link w:val="841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3">
    <w:name w:val="Message Header"/>
    <w:basedOn w:val="827"/>
    <w:link w:val="844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4" w:customStyle="1">
    <w:name w:val="Шапка Знак"/>
    <w:basedOn w:val="837"/>
    <w:link w:val="843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5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6" w:customStyle="1">
    <w:name w:val="Заголовок 1 Знак"/>
    <w:basedOn w:val="837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7" w:customStyle="1">
    <w:name w:val="Заголовок 2 Знак"/>
    <w:basedOn w:val="837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8" w:customStyle="1">
    <w:name w:val="Заголовок 3 Знак"/>
    <w:basedOn w:val="837"/>
    <w:link w:val="83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9" w:customStyle="1">
    <w:name w:val="Заголовок 4 Знак"/>
    <w:basedOn w:val="837"/>
    <w:link w:val="831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50" w:customStyle="1">
    <w:name w:val="Заголовок 5 Знак"/>
    <w:basedOn w:val="837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51" w:customStyle="1">
    <w:name w:val="Заголовок 6 Знак"/>
    <w:basedOn w:val="837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2" w:customStyle="1">
    <w:name w:val="Заголовок 7 Знак"/>
    <w:basedOn w:val="837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3" w:customStyle="1">
    <w:name w:val="Заголовок 8 Знак"/>
    <w:basedOn w:val="837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4" w:customStyle="1">
    <w:name w:val="Заголовок 9 Знак"/>
    <w:basedOn w:val="837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5">
    <w:name w:val="Caption"/>
    <w:basedOn w:val="827"/>
    <w:next w:val="827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6">
    <w:name w:val="Signature"/>
    <w:basedOn w:val="827"/>
    <w:link w:val="857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7" w:customStyle="1">
    <w:name w:val="Подпись Знак"/>
    <w:basedOn w:val="837"/>
    <w:link w:val="856"/>
    <w:uiPriority w:val="99"/>
    <w:pPr>
      <w:pBdr/>
      <w:spacing/>
      <w:ind/>
    </w:pPr>
    <w:rPr>
      <w:rFonts w:ascii="Arial" w:hAnsi="Arial"/>
      <w:b/>
      <w:sz w:val="24"/>
    </w:rPr>
  </w:style>
  <w:style w:type="paragraph" w:styleId="858">
    <w:name w:val="Subtitle"/>
    <w:basedOn w:val="827"/>
    <w:next w:val="827"/>
    <w:link w:val="859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9" w:customStyle="1">
    <w:name w:val="Подзаголовок Знак"/>
    <w:basedOn w:val="837"/>
    <w:link w:val="858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60">
    <w:name w:val="Strong"/>
    <w:basedOn w:val="837"/>
    <w:uiPriority w:val="22"/>
    <w:semiHidden/>
    <w:qFormat/>
    <w:pPr>
      <w:pBdr/>
      <w:spacing/>
      <w:ind/>
    </w:pPr>
    <w:rPr>
      <w:b/>
      <w:bCs/>
    </w:rPr>
  </w:style>
  <w:style w:type="character" w:styleId="861">
    <w:name w:val="Emphasis"/>
    <w:basedOn w:val="837"/>
    <w:uiPriority w:val="20"/>
    <w:semiHidden/>
    <w:qFormat/>
    <w:pPr>
      <w:pBdr/>
      <w:spacing/>
      <w:ind/>
    </w:pPr>
    <w:rPr>
      <w:i/>
      <w:iCs/>
    </w:rPr>
  </w:style>
  <w:style w:type="paragraph" w:styleId="862">
    <w:name w:val="List Paragraph"/>
    <w:basedOn w:val="827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3">
    <w:name w:val="Quote"/>
    <w:basedOn w:val="827"/>
    <w:next w:val="827"/>
    <w:link w:val="864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4" w:customStyle="1">
    <w:name w:val="Цитата 2 Знак"/>
    <w:basedOn w:val="837"/>
    <w:link w:val="863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5">
    <w:name w:val="Intense Quote"/>
    <w:basedOn w:val="827"/>
    <w:next w:val="827"/>
    <w:link w:val="866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6" w:customStyle="1">
    <w:name w:val="Выделенная цитата Знак"/>
    <w:basedOn w:val="837"/>
    <w:link w:val="865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7">
    <w:name w:val="Subtle Emphasis"/>
    <w:basedOn w:val="837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8">
    <w:name w:val="Intense Emphasis"/>
    <w:basedOn w:val="837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9">
    <w:name w:val="Subtle Reference"/>
    <w:basedOn w:val="837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70">
    <w:name w:val="Intense Reference"/>
    <w:basedOn w:val="837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71">
    <w:name w:val="Book Title"/>
    <w:basedOn w:val="837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2">
    <w:name w:val="TOC Heading"/>
    <w:basedOn w:val="828"/>
    <w:next w:val="827"/>
    <w:uiPriority w:val="39"/>
    <w:semiHidden/>
    <w:qFormat/>
    <w:pPr>
      <w:pBdr/>
      <w:spacing/>
      <w:ind/>
      <w:outlineLvl w:val="9"/>
    </w:pPr>
  </w:style>
  <w:style w:type="paragraph" w:styleId="873">
    <w:name w:val="Normal Indent"/>
    <w:basedOn w:val="827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4">
    <w:name w:val="annotation text"/>
    <w:basedOn w:val="827"/>
    <w:link w:val="875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5" w:customStyle="1">
    <w:name w:val="Текст примечания Знак"/>
    <w:basedOn w:val="837"/>
    <w:link w:val="874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6" w:customStyle="1">
    <w:name w:val="Редакции"/>
    <w:basedOn w:val="827"/>
    <w:pPr>
      <w:pBdr/>
      <w:spacing w:after="240"/>
      <w:ind w:firstLine="0"/>
      <w:jc w:val="center"/>
    </w:pPr>
    <w:rPr>
      <w:i/>
      <w:iCs/>
    </w:rPr>
  </w:style>
  <w:style w:type="paragraph" w:styleId="877" w:customStyle="1">
    <w:name w:val="Таблица"/>
    <w:basedOn w:val="827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8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9">
    <w:name w:val="Balloon Text"/>
    <w:basedOn w:val="827"/>
    <w:link w:val="880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837"/>
    <w:link w:val="879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37202/ru#st_5" TargetMode="External"/><Relationship Id="rId10" Type="http://schemas.openxmlformats.org/officeDocument/2006/relationships/hyperlink" Target="https://cbd.minjust.gov.kg/112424/edition/37202/ru#st_9" TargetMode="External"/><Relationship Id="rId11" Type="http://schemas.openxmlformats.org/officeDocument/2006/relationships/hyperlink" Target="https://cbd.minjust.gov.kg/112424/edition/37202/ru#st_64" TargetMode="External"/><Relationship Id="rId12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#pr" TargetMode="External"/><Relationship Id="rId13" Type="http://schemas.openxmlformats.org/officeDocument/2006/relationships/hyperlink" Target="https://cbd.minjust.gov.kg/8-99/edition/914198/ru" TargetMode="External"/><Relationship Id="rId14" Type="http://schemas.openxmlformats.org/officeDocument/2006/relationships/hyperlink" Target="https://cbd.minjust.gov.kg/8-398/edition/456650/ru" TargetMode="External"/><Relationship Id="rId15" Type="http://schemas.openxmlformats.org/officeDocument/2006/relationships/hyperlink" Target="https://cbd.minjust.gov.kg/8-54/edition/456652/ru" TargetMode="External"/><Relationship Id="rId16" Type="http://schemas.openxmlformats.org/officeDocument/2006/relationships/hyperlink" Target="https://cbd.minjust.gov.kg/22-440/edition/436353/ru" TargetMode="External"/><Relationship Id="rId17" Type="http://schemas.openxmlformats.org/officeDocument/2006/relationships/hyperlink" Target="https://cbd.minjust.gov.kg/8-275/edition/436160/ru" TargetMode="External"/><Relationship Id="rId18" Type="http://schemas.openxmlformats.org/officeDocument/2006/relationships/hyperlink" Target="https://cbd.minjust.gov.kg/22-441/edition/1057622/ru" TargetMode="External"/><Relationship Id="rId19" Type="http://schemas.openxmlformats.org/officeDocument/2006/relationships/hyperlink" Target="https://cbd.minjust.gov.kg/8-289/edition/569901/ru" TargetMode="External"/><Relationship Id="rId20" Type="http://schemas.openxmlformats.org/officeDocument/2006/relationships/hyperlink" Target="https://cbd.minjust.gov.kg/8-291/edition/886067/ru" TargetMode="External"/><Relationship Id="rId21" Type="http://schemas.openxmlformats.org/officeDocument/2006/relationships/hyperlink" Target="https://cbd.minjust.gov.kg/8-406/edition/1115208/ru" TargetMode="External"/><Relationship Id="rId22" Type="http://schemas.openxmlformats.org/officeDocument/2006/relationships/hyperlink" Target="https://cbd.minjust.gov.kg/8-405/edition/1115198/ru" TargetMode="External"/><Relationship Id="rId23" Type="http://schemas.openxmlformats.org/officeDocument/2006/relationships/hyperlink" Target="https://cbd.minjust.gov.kg/46-3571/edition/1085152/ru" TargetMode="External"/><Relationship Id="rId24" Type="http://schemas.openxmlformats.org/officeDocument/2006/relationships/hyperlink" Target="https://cbd.minjust.gov.kg/8-455/edition/778027/ru?editionCode=exact" TargetMode="External"/><Relationship Id="rId25" Type="http://schemas.openxmlformats.org/officeDocument/2006/relationships/hyperlink" Target="https://cbd.minjust.gov.kg/46-3453/edition/928154/ru" TargetMode="External"/><Relationship Id="rId26" Type="http://schemas.openxmlformats.org/officeDocument/2006/relationships/hyperlink" Target="https://cbd.minjust.gov.kg/8-467/edition/506266/ru" TargetMode="External"/><Relationship Id="rId27" Type="http://schemas.openxmlformats.org/officeDocument/2006/relationships/hyperlink" Target="https://cbd.minjust.gov.kg/46-3576/edition/501182/ru" TargetMode="External"/><Relationship Id="rId28" Type="http://schemas.openxmlformats.org/officeDocument/2006/relationships/hyperlink" Target="https://cbd.minjust.gov.kg/8-473/edition/651080/ru" TargetMode="External"/><Relationship Id="rId29" Type="http://schemas.openxmlformats.org/officeDocument/2006/relationships/hyperlink" Target="https://cbd.minjust.gov.kg/51-589/edition/1068598/ru" TargetMode="External"/><Relationship Id="rId30" Type="http://schemas.openxmlformats.org/officeDocument/2006/relationships/hyperlink" Target="https://cbd.minjust.gov.kg/8-500/edition/895885/ru" TargetMode="External"/><Relationship Id="rId31" Type="http://schemas.openxmlformats.org/officeDocument/2006/relationships/hyperlink" Target="https://cbd.minjust.gov.kg/46-3635/edition/900914/ru" TargetMode="External"/><Relationship Id="rId32" Type="http://schemas.openxmlformats.org/officeDocument/2006/relationships/hyperlink" Target="https://cbd.minjust.gov.kg/8-662/edition/900922/ru" TargetMode="External"/><Relationship Id="rId33" Type="http://schemas.openxmlformats.org/officeDocument/2006/relationships/hyperlink" Target="https://cbd.minjust.gov.kg/8-131/edition/569977/ru" TargetMode="External"/><Relationship Id="rId34" Type="http://schemas.openxmlformats.org/officeDocument/2006/relationships/hyperlink" Target="https://cbd.minjust.gov.kg/46-3421/edition/896009/ru" TargetMode="External"/><Relationship Id="rId35" Type="http://schemas.openxmlformats.org/officeDocument/2006/relationships/hyperlink" Target="https://cbd.minjust.gov.kg/8-132/edition/330732/ru" TargetMode="External"/><Relationship Id="rId36" Type="http://schemas.openxmlformats.org/officeDocument/2006/relationships/hyperlink" Target="https://cbd.minjust.gov.kg/8-131/edition/569977/ru" TargetMode="External"/><Relationship Id="rId37" Type="http://schemas.openxmlformats.org/officeDocument/2006/relationships/hyperlink" Target="https://cbd.minjust.gov.kg/46-3421/edition/896009/ru" TargetMode="External"/><Relationship Id="rId38" Type="http://schemas.openxmlformats.org/officeDocument/2006/relationships/hyperlink" Target="https://cbd.minjust.gov.kg/8-133/edition/330735/ru" TargetMode="External"/><Relationship Id="rId39" Type="http://schemas.openxmlformats.org/officeDocument/2006/relationships/hyperlink" Target="https://cbd.minjust.gov.kg/8-131/edition/569977/ru" TargetMode="External"/><Relationship Id="rId40" Type="http://schemas.openxmlformats.org/officeDocument/2006/relationships/hyperlink" Target="https://cbd.minjust.gov.kg/46-3421/edition/896009/ru" TargetMode="External"/><Relationship Id="rId41" Type="http://schemas.openxmlformats.org/officeDocument/2006/relationships/hyperlink" Target="https://cbd.minjust.gov.kg/8-131/edition/569977/ru" TargetMode="External"/><Relationship Id="rId42" Type="http://schemas.openxmlformats.org/officeDocument/2006/relationships/hyperlink" Target="https://cbd.minjust.gov.kg/46-3421/edition/896009/ru" TargetMode="External"/><Relationship Id="rId43" Type="http://schemas.openxmlformats.org/officeDocument/2006/relationships/hyperlink" Target="https://cbd.minjust.gov.kg/8-131/edition/569977/ru" TargetMode="External"/><Relationship Id="rId44" Type="http://schemas.openxmlformats.org/officeDocument/2006/relationships/hyperlink" Target="https://cbd.minjust.gov.kg/46-3421/edition/896009/ru" TargetMode="External"/><Relationship Id="rId45" Type="http://schemas.openxmlformats.org/officeDocument/2006/relationships/hyperlink" Target="https://cbd.minjust.gov.kg/8-195/edition/331013/ru" TargetMode="External"/><Relationship Id="rId46" Type="http://schemas.openxmlformats.org/officeDocument/2006/relationships/hyperlink" Target="https://cbd.minjust.gov.kg/8-131/edition/569977/ru" TargetMode="External"/><Relationship Id="rId47" Type="http://schemas.openxmlformats.org/officeDocument/2006/relationships/hyperlink" Target="https://cbd.minjust.gov.kg/46-3421/edition/896009/ru" TargetMode="External"/><Relationship Id="rId48" Type="http://schemas.openxmlformats.org/officeDocument/2006/relationships/hyperlink" Target="https://cbd.minjust.gov.kg/8-248/edition/331392/ru" TargetMode="External"/><Relationship Id="rId49" Type="http://schemas.openxmlformats.org/officeDocument/2006/relationships/hyperlink" Target="https://cbd.minjust.gov.kg/8-131/edition/569977/ru" TargetMode="External"/><Relationship Id="rId50" Type="http://schemas.openxmlformats.org/officeDocument/2006/relationships/hyperlink" Target="https://cbd.minjust.gov.kg/46-3421/edition/896009/ru" TargetMode="External"/><Relationship Id="rId51" Type="http://schemas.openxmlformats.org/officeDocument/2006/relationships/hyperlink" Target="https://cbd.minjust.gov.kg/8-1/edition/558414/ru" TargetMode="External"/><Relationship Id="rId52" Type="http://schemas.openxmlformats.org/officeDocument/2006/relationships/hyperlink" Target="https://cbd.minjust.gov.kg/8-1/edition/558414/ru" TargetMode="External"/><Relationship Id="rId53" Type="http://schemas.openxmlformats.org/officeDocument/2006/relationships/hyperlink" Target="https://cbd.minjust.gov.kg/8-503/edition/582128/ru" TargetMode="External"/><Relationship Id="rId54" Type="http://schemas.openxmlformats.org/officeDocument/2006/relationships/hyperlink" Target="https://cbd.minjust.gov.kg/8-131/edition/569977/ru" TargetMode="External"/><Relationship Id="rId55" Type="http://schemas.openxmlformats.org/officeDocument/2006/relationships/hyperlink" Target="https://cbd.minjust.gov.kg/46-3421/edition/896009/ru" TargetMode="External"/><Relationship Id="rId56" Type="http://schemas.openxmlformats.org/officeDocument/2006/relationships/hyperlink" Target="https://cbd.minjust.gov.kg/8-507/edition/570008/ru" TargetMode="External"/><Relationship Id="rId57" Type="http://schemas.openxmlformats.org/officeDocument/2006/relationships/hyperlink" Target="https://cbd.minjust.gov.kg/8-507/edition/570008/ru" TargetMode="External"/><Relationship Id="rId58" Type="http://schemas.openxmlformats.org/officeDocument/2006/relationships/hyperlink" Target="https://cbd.minjust.gov.kg/8-574/edition/1184648/ru" TargetMode="External"/><Relationship Id="rId59" Type="http://schemas.openxmlformats.org/officeDocument/2006/relationships/hyperlink" Target="https://cbd.minjust.gov.kg/8-574/edition/1184648/ru" TargetMode="External"/><Relationship Id="rId60" Type="http://schemas.openxmlformats.org/officeDocument/2006/relationships/hyperlink" Target="https://cbd.minjust.gov.kg/8-131/edition/569977/ru" TargetMode="External"/><Relationship Id="rId61" Type="http://schemas.openxmlformats.org/officeDocument/2006/relationships/hyperlink" Target="https://cbd.minjust.gov.kg/46-3421/edition/896009/ru" TargetMode="External"/><Relationship Id="rId62" Type="http://schemas.openxmlformats.org/officeDocument/2006/relationships/hyperlink" Target="https://cbd.minjust.gov.kg/8-663/edition/900906/ru" TargetMode="External"/><Relationship Id="rId63" Type="http://schemas.openxmlformats.org/officeDocument/2006/relationships/hyperlink" Target="https://cbd.minjust.gov.kg/8-663/edition/900906/ru" TargetMode="External"/><Relationship Id="rId64" Type="http://schemas.openxmlformats.org/officeDocument/2006/relationships/hyperlink" Target="https://cbd.minjust.gov.kg/8-131/edition/569977/ru" TargetMode="External"/><Relationship Id="rId65" Type="http://schemas.openxmlformats.org/officeDocument/2006/relationships/hyperlink" Target="https://cbd.minjust.gov.kg/46-3421/edition/896009/ru" TargetMode="External"/><Relationship Id="rId66" Type="http://schemas.openxmlformats.org/officeDocument/2006/relationships/hyperlink" Target="https://cbd.minjust.gov.kg/8-641/edition/896887/ru" TargetMode="External"/><Relationship Id="rId67" Type="http://schemas.openxmlformats.org/officeDocument/2006/relationships/hyperlink" Target="https://cbd.minjust.gov.kg/8-641/edition/896887/ru" TargetMode="External"/><Relationship Id="rId68" Type="http://schemas.openxmlformats.org/officeDocument/2006/relationships/hyperlink" Target="https://cbd.minjust.gov.kg/8-853/edition/1036107/ru" TargetMode="External"/><Relationship Id="rId69" Type="http://schemas.openxmlformats.org/officeDocument/2006/relationships/hyperlink" Target="https://cbd.minjust.gov.kg/860284/edition/1090005/ru" TargetMode="External"/><Relationship Id="rId70" Type="http://schemas.openxmlformats.org/officeDocument/2006/relationships/hyperlink" Target="https://cbd.minjust.gov.kg/8-853/edition/1036107/ru" TargetMode="External"/><Relationship Id="rId71" Type="http://schemas.openxmlformats.org/officeDocument/2006/relationships/hyperlink" Target="https://cbd.minjust.gov.kg/860284/edition/1090005/ru" TargetMode="External"/><Relationship Id="rId72" Type="http://schemas.openxmlformats.org/officeDocument/2006/relationships/hyperlink" Target="https://cbd.minjust.gov.kg/8-99/edition/914198/ru" TargetMode="External"/><Relationship Id="rId73" Type="http://schemas.openxmlformats.org/officeDocument/2006/relationships/hyperlink" Target="https://cbd.minjust.gov.kg/8-99/edition/914198/ru" TargetMode="External"/><Relationship Id="rId74" Type="http://schemas.openxmlformats.org/officeDocument/2006/relationships/hyperlink" Target="https://cbd.minjust.gov.kg/8-99/edition/914198/ru" TargetMode="External"/><Relationship Id="rId75" Type="http://schemas.openxmlformats.org/officeDocument/2006/relationships/hyperlink" Target="https://cbd.minjust.gov.kg/8-54/edition/456652/ru" TargetMode="External"/><Relationship Id="rId76" Type="http://schemas.openxmlformats.org/officeDocument/2006/relationships/hyperlink" Target="https://cbd.minjust.gov.kg/8-398/edition/456650/ru" TargetMode="External"/><Relationship Id="rId77" Type="http://schemas.openxmlformats.org/officeDocument/2006/relationships/hyperlink" Target="https://cbd.minjust.gov.kg/8-54/edition/456652/ru" TargetMode="External"/><Relationship Id="rId78" Type="http://schemas.openxmlformats.org/officeDocument/2006/relationships/hyperlink" Target="https://cbd.minjust.gov.kg/8-275/edition/436160/ru" TargetMode="External"/><Relationship Id="rId79" Type="http://schemas.openxmlformats.org/officeDocument/2006/relationships/hyperlink" Target="https://cbd.minjust.gov.kg/22-440/edition/436353/ru" TargetMode="External"/><Relationship Id="rId80" Type="http://schemas.openxmlformats.org/officeDocument/2006/relationships/hyperlink" Target="https://cbd.minjust.gov.kg/22-440/edition/436353/ru" TargetMode="External"/><Relationship Id="rId81" Type="http://schemas.openxmlformats.org/officeDocument/2006/relationships/hyperlink" Target="https://cbd.minjust.gov.kg/8-275/edition/436160/ru" TargetMode="External"/><Relationship Id="rId82" Type="http://schemas.openxmlformats.org/officeDocument/2006/relationships/hyperlink" Target="https://cbd.minjust.gov.kg/8-289/edition/569901/ru" TargetMode="External"/><Relationship Id="rId83" Type="http://schemas.openxmlformats.org/officeDocument/2006/relationships/hyperlink" Target="https://cbd.minjust.gov.kg/22-441/edition/1057622/ru" TargetMode="External"/><Relationship Id="rId84" Type="http://schemas.openxmlformats.org/officeDocument/2006/relationships/hyperlink" Target="https://cbd.minjust.gov.kg/22-441/edition/1057622/ru" TargetMode="External"/><Relationship Id="rId85" Type="http://schemas.openxmlformats.org/officeDocument/2006/relationships/hyperlink" Target="https://cbd.minjust.gov.kg/8-289/edition/569901/ru" TargetMode="External"/><Relationship Id="rId86" Type="http://schemas.openxmlformats.org/officeDocument/2006/relationships/hyperlink" Target="https://cbd.minjust.gov.kg/8-291/edition/886067/ru" TargetMode="External"/><Relationship Id="rId87" Type="http://schemas.openxmlformats.org/officeDocument/2006/relationships/hyperlink" Target="https://cbd.minjust.gov.kg/46-3532/edition/1081338/ru" TargetMode="External"/><Relationship Id="rId88" Type="http://schemas.openxmlformats.org/officeDocument/2006/relationships/hyperlink" Target="https://cbd.minjust.gov.kg/8-291/edition/886067/ru" TargetMode="External"/><Relationship Id="rId89" Type="http://schemas.openxmlformats.org/officeDocument/2006/relationships/hyperlink" Target="https://cbd.minjust.gov.kg/4-4900/edition/10141/ru" TargetMode="External"/><Relationship Id="rId90" Type="http://schemas.openxmlformats.org/officeDocument/2006/relationships/hyperlink" Target="https://cbd.minjust.gov.kg/46-3532/edition/1081338/ru#g9" TargetMode="External"/><Relationship Id="rId91" Type="http://schemas.openxmlformats.org/officeDocument/2006/relationships/hyperlink" Target="https://cbd.minjust.gov.kg/46-3532/edition/1081338/ru" TargetMode="External"/><Relationship Id="rId92" Type="http://schemas.openxmlformats.org/officeDocument/2006/relationships/hyperlink" Target="https://cbd.minjust.gov.kg/46-3532/edition/1081338/ru" TargetMode="External"/><Relationship Id="rId93" Type="http://schemas.openxmlformats.org/officeDocument/2006/relationships/hyperlink" Target="https://cbd.minjust.gov.kg/8-405/edition/1115198/ru" TargetMode="External"/><Relationship Id="rId94" Type="http://schemas.openxmlformats.org/officeDocument/2006/relationships/hyperlink" Target="https://cbd.minjust.gov.kg/8-406/edition/1115208/ru" TargetMode="External"/><Relationship Id="rId95" Type="http://schemas.openxmlformats.org/officeDocument/2006/relationships/hyperlink" Target="https://cbd.minjust.gov.kg/8-406/edition/1115208/ru" TargetMode="External"/><Relationship Id="rId96" Type="http://schemas.openxmlformats.org/officeDocument/2006/relationships/hyperlink" Target="https://cbd.minjust.gov.kg/8-405/edition/1115198/ru" TargetMode="External"/><Relationship Id="rId97" Type="http://schemas.openxmlformats.org/officeDocument/2006/relationships/hyperlink" Target="https://cbd.minjust.gov.kg/8-455/edition/778027/ru?editionCode=exact" TargetMode="External"/><Relationship Id="rId98" Type="http://schemas.openxmlformats.org/officeDocument/2006/relationships/hyperlink" Target="https://cbd.minjust.gov.kg/46-3571/edition/1085152/ru" TargetMode="External"/><Relationship Id="rId99" Type="http://schemas.openxmlformats.org/officeDocument/2006/relationships/hyperlink" Target="https://cbd.minjust.gov.kg/46-3571/edition/1085152/ru" TargetMode="External"/><Relationship Id="rId100" Type="http://schemas.openxmlformats.org/officeDocument/2006/relationships/hyperlink" Target="toktom://db/120771" TargetMode="External"/><Relationship Id="rId101" Type="http://schemas.openxmlformats.org/officeDocument/2006/relationships/hyperlink" Target="https://cbd.minjust.gov.kg/8-467/edition/506266/ru" TargetMode="External"/><Relationship Id="rId102" Type="http://schemas.openxmlformats.org/officeDocument/2006/relationships/hyperlink" Target="https://cbd.minjust.gov.kg/46-3453/edition/928154/ru" TargetMode="External"/><Relationship Id="rId103" Type="http://schemas.openxmlformats.org/officeDocument/2006/relationships/hyperlink" Target="https://cbd.minjust.gov.kg/46-3453/edition/928154/ru" TargetMode="External"/><Relationship Id="rId104" Type="http://schemas.openxmlformats.org/officeDocument/2006/relationships/hyperlink" Target="https://cbd.minjust.gov.kg/8-467/edition/506266/ru" TargetMode="External"/><Relationship Id="rId105" Type="http://schemas.openxmlformats.org/officeDocument/2006/relationships/hyperlink" Target="https://cbd.minjust.gov.kg/46-3453/edition/928154/ru#r8" TargetMode="External"/><Relationship Id="rId106" Type="http://schemas.openxmlformats.org/officeDocument/2006/relationships/hyperlink" Target="https://cbd.minjust.gov.kg/8-473/edition/651080/ru" TargetMode="External"/><Relationship Id="rId107" Type="http://schemas.openxmlformats.org/officeDocument/2006/relationships/hyperlink" Target="https://cbd.minjust.gov.kg/46-3576/edition/501182/ru" TargetMode="External"/><Relationship Id="rId108" Type="http://schemas.openxmlformats.org/officeDocument/2006/relationships/hyperlink" Target="https://cbd.minjust.gov.kg/46-3576/edition/501182/ru" TargetMode="External"/><Relationship Id="rId109" Type="http://schemas.openxmlformats.org/officeDocument/2006/relationships/hyperlink" Target="https://cbd.minjust.gov.kg/8-473/edition/651080/ru" TargetMode="External"/><Relationship Id="rId110" Type="http://schemas.openxmlformats.org/officeDocument/2006/relationships/hyperlink" Target="https://cbd.minjust.gov.kg/8-500/edition/895885/ru" TargetMode="External"/><Relationship Id="rId111" Type="http://schemas.openxmlformats.org/officeDocument/2006/relationships/hyperlink" Target="https://cbd.minjust.gov.kg/51-589/edition/1068598/ru" TargetMode="External"/><Relationship Id="rId112" Type="http://schemas.openxmlformats.org/officeDocument/2006/relationships/hyperlink" Target="https://cbd.minjust.gov.kg/51-589/edition/1068598/ru" TargetMode="External"/><Relationship Id="rId113" Type="http://schemas.openxmlformats.org/officeDocument/2006/relationships/hyperlink" Target="https://cbd.minjust.gov.kg/8-500/edition/895885/ru" TargetMode="External"/><Relationship Id="rId114" Type="http://schemas.openxmlformats.org/officeDocument/2006/relationships/hyperlink" Target="https://cbd.minjust.gov.kg/8-653/edition/914250/ru" TargetMode="External"/><Relationship Id="rId115" Type="http://schemas.openxmlformats.org/officeDocument/2006/relationships/hyperlink" Target="https://cbd.minjust.gov.kg/8-662/edition/900922/ru" TargetMode="External"/><Relationship Id="rId116" Type="http://schemas.openxmlformats.org/officeDocument/2006/relationships/hyperlink" Target="https://cbd.minjust.gov.kg/8-662/edition/900922/ru" TargetMode="External"/><Relationship Id="rId117" Type="http://schemas.openxmlformats.org/officeDocument/2006/relationships/hyperlink" Target="https://cbd.minjust.gov.kg/46-3635/edition/900914/ru" TargetMode="External"/><Relationship Id="rId118" Type="http://schemas.openxmlformats.org/officeDocument/2006/relationships/hyperlink" Target="https://cbd.minjust.gov.kg/46-3635/edition/900914/ru" TargetMode="External"/><Relationship Id="rId119" Type="http://schemas.openxmlformats.org/officeDocument/2006/relationships/hyperlink" Target="https://cbd.minjust.gov.kg/8-662/edition/900922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19</cp:revision>
  <dcterms:created xsi:type="dcterms:W3CDTF">2024-01-18T05:24:00Z</dcterms:created>
  <dcterms:modified xsi:type="dcterms:W3CDTF">2025-10-30T11:48:56Z</dcterms:modified>
</cp:coreProperties>
</file>