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pBdr/>
        <w:spacing w:after="360"/>
        <w:ind w:firstLine="0"/>
        <w:jc w:val="center"/>
        <w:rPr>
          <w:highlight w:val="none"/>
        </w:rPr>
      </w:pPr>
      <w:r>
        <w:rPr>
          <w:highlight w:val="none"/>
        </w:rPr>
      </w:r>
      <w:r>
        <mc:AlternateContent>
          <mc:Choice Requires="wpg">
            <w:drawing>
              <wp:inline xmlns:wp="http://schemas.openxmlformats.org/drawingml/2006/wordprocessingDrawing" distT="0" distB="0" distL="0" distR="0">
                <wp:extent cx="1247775" cy="1257300"/>
                <wp:effectExtent l="0" t="0" r="0" b="0"/>
                <wp:docPr id="1" nam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828739701" name=""/>
                        <pic:cNvPicPr>
                          <a:picLocks noChangeAspect="1"/>
                        </pic:cNvPicPr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1247774" cy="12572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0" o:spid="_x0000_s0" type="#_x0000_t75" style="width:98.25pt;height:99.00pt;mso-wrap-distance-left:0.00pt;mso-wrap-distance-top:0.00pt;mso-wrap-distance-right:0.00pt;mso-wrap-distance-bottom:0.00pt;z-index:1;" stroked="false">
                <v:imagedata r:id="rId8" o:title=""/>
                <o:lock v:ext="edit" rotation="t"/>
              </v:shape>
            </w:pict>
          </mc:Fallback>
        </mc:AlternateContent>
      </w:r>
      <w:r>
        <w:rPr>
          <w:highlight w:val="none"/>
        </w:rPr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76" w:lineRule="atLeast"/>
        <w:ind w:right="1134" w:firstLine="0" w:left="1134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ПОСТАНОВЛЕНИЕ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76" w:lineRule="atLeast"/>
        <w:ind w:right="1134" w:firstLine="0" w:left="1134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ПРАВЛЕНИЯ НАЦИОНАЛЬНОГО БАНКА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0" w:before="0" w:line="276" w:lineRule="atLeast"/>
        <w:ind w:right="1134" w:firstLine="0" w:left="1134"/>
        <w:jc w:val="center"/>
        <w:rPr/>
      </w:pPr>
      <w:r>
        <w:rPr>
          <w:rFonts w:ascii="Arial" w:hAnsi="Arial" w:eastAsia="Arial" w:cs="Arial"/>
          <w:b/>
          <w:color w:val="000000"/>
          <w:sz w:val="32"/>
        </w:rPr>
        <w:t xml:space="preserve">КЫРГЫЗСКОЙ РЕСПУБЛИКИ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200" w:line="276" w:lineRule="atLeast"/>
        <w:ind w:right="0" w:firstLine="0" w:left="0"/>
        <w:rPr>
          <w:rFonts w:ascii="Arial" w:hAnsi="Arial" w:eastAsia="Arial" w:cs="Arial"/>
        </w:rPr>
      </w:pPr>
      <w:r>
        <w:rPr>
          <w:rFonts w:ascii="Arial" w:hAnsi="Arial" w:eastAsia="Arial" w:cs="Arial"/>
          <w:color w:val="000000"/>
          <w:sz w:val="24"/>
          <w:highlight w:val="none"/>
        </w:rPr>
      </w:r>
      <w:r>
        <w:rPr>
          <w:rFonts w:ascii="Arial" w:hAnsi="Arial" w:eastAsia="Arial" w:cs="Arial"/>
          <w:color w:val="000000"/>
          <w:sz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after="200" w:before="200" w:line="276" w:lineRule="atLeast"/>
        <w:ind w:right="0" w:firstLine="0" w:left="0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</w:rPr>
        <w:t xml:space="preserve">от 8 октября 2025 года № 2025-П-12/50-4-(НПА)</w:t>
      </w:r>
      <w:r/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sz w:val="28"/>
          <w:szCs w:val="28"/>
        </w:rPr>
      </w:pPr>
      <w:r>
        <w:rPr>
          <w:rFonts w:ascii="Arial" w:hAnsi="Arial" w:eastAsia="Arial" w:cs="Arial"/>
          <w:b/>
          <w:color w:val="000000"/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</w:t>
      </w:r>
      <w:r>
        <w:rPr>
          <w:sz w:val="28"/>
          <w:szCs w:val="28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соответствии со статьями </w:t>
      </w:r>
      <w:hyperlink r:id="rId9" w:tooltip="https://cbd.minjust.gov.kg/112424/edition/37202/ru#st_5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5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hyperlink r:id="rId10" w:tooltip="https://cbd.minjust.gov.kg/112424/edition/37202/ru#st_9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9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и </w:t>
      </w:r>
      <w:hyperlink r:id="rId11" w:tooltip="https://cbd.minjust.gov.kg/112424/edition/37202/ru#st_6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64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конституционного Закона Кыргызской Республики "О Национальном банке Кыргызской Республики" Правление Национального банка Кыргызской Республики постановляет: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изменения в следующие постановления Правления Национального банка Кыргызской Республики (</w:t>
      </w:r>
      <w:hyperlink w:tooltip="#pr" w:anchor="pr" w:history="1">
        <w:r>
          <w:rPr>
            <w:rStyle w:val="876"/>
            <w:rFonts w:ascii="Arial" w:hAnsi="Arial" w:eastAsia="Arial" w:cs="Arial"/>
            <w:sz w:val="24"/>
            <w:szCs w:val="24"/>
          </w:rPr>
          <w:t xml:space="preserve">прилагаются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):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2" w:tooltip="https://cbd.minjust.gov.kg/46-3625/edition/1086384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Комитете по надзору Национального банка Кыргызской Республики" </w:t>
      </w:r>
      <w:hyperlink r:id="rId13" w:tooltip="toktom://db/5626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19 марта 2005 года № 6/2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4" w:tooltip="toktom://db/143418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ликвидации банков" </w:t>
      </w:r>
      <w:hyperlink r:id="rId15" w:tooltip="toktom://db/143417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8 июня 2017 года № 2017-П-12/23-5-(НПА)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6" w:tooltip="toktom://db/14346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Временной администрации" </w:t>
      </w:r>
      <w:hyperlink r:id="rId17" w:tooltip="toktom://db/143463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8 июня 2017 года № 2017-П-12/23-8-(НПА)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18" w:tooltip="toktom://db/143963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порядке проведения отдельных банковских операций банками Кыргызской Республики в случае введения режима Временной администрации или начала процедуры ликвидации" </w:t>
      </w:r>
      <w:hyperlink r:id="rId19" w:tooltip="toktom://db/143962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15 июня 2017 года № 2017-П-12/25-9-(НПА)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"Об утверждении </w:t>
      </w:r>
      <w:hyperlink r:id="rId20" w:tooltip="toktom://db/165694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мерах воздействия, применяемых к небанковским финансово-кредитным организациям и другим юридическим лицам, поднадзорным Национальному банку Кыргызской Республики" </w:t>
      </w:r>
      <w:hyperlink r:id="rId21" w:tooltip="toktom://db/165693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от 23 декабря 2020 года № 2020-П-33/73-12-(НФКУ)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Юридическому управлению: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со дня получения соответствующих документов в течение 3 (трех) рабочих дней опубликовать настоящее постановление на официальном интернет-сайте Национального банка Кыргызской Республики;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Настоящее постановление вступает в силу по истечении 15 (пятнадцати) дней со дня официального опубликования.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Управлению методологии надзора в течение 3 (трех) рабочих дней со дня официального опубликования настоящего постановления довести его до сведения Объединения юридических лиц "Союз банков Кыргызстана", Объединения юридических лиц "Ассоциация микрофинансо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вых организаций", Объединения юридических лиц "Национальная ассоциация кредитных союзов и кооперативов Кыргызстана", коммерческих банков, микрофинансовых организаций, кредитных союзов, Открытого акционерного общества "Гарантийный фонд", жилищно-сберегатель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ных кредитных компаний, специализированных финансово-кредитных организаций и кредитных бюро.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Отделу "Секретариат Правления" в течение 3 (трех) рабочих дней со дня принятия настоящего постановления довести его до сведения структурных подразделений, областных управлений и Представительства Национального банка Кыргызской Республики в Баткенской об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ласти.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6.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 </w:t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56"/>
        <w:gridCol w:w="2814"/>
        <w:gridCol w:w="328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567" w:type="dxa"/>
              <w:top w:w="0" w:type="dxa"/>
              <w:right w:w="108" w:type="dxa"/>
              <w:bottom w:w="0" w:type="dxa"/>
            </w:tcMar>
            <w:tcW w:w="3256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left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Председатель Национального банка Кыргызской Республики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14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85" w:type="dxa"/>
            <w:vAlign w:val="bottom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right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b/>
                <w:color w:val="000000"/>
                <w:sz w:val="24"/>
                <w:szCs w:val="24"/>
              </w:rPr>
              <w:t xml:space="preserve">М.Тургунбаев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</w:r>
      <w:r>
        <w:rPr>
          <w:rFonts w:ascii="Arial" w:hAnsi="Arial" w:eastAsia="Arial" w:cs="Arial"/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</w:r>
      <w:r>
        <w:rPr>
          <w:sz w:val="24"/>
          <w:szCs w:val="24"/>
        </w:rPr>
      </w:r>
    </w:p>
    <w:tbl>
      <w:tblPr>
        <w:tblStyle w:val="683"/>
        <w:tblW w:w="5000" w:type="pct"/>
        <w:tblInd w:w="0" w:type="dxa"/>
        <w:tbl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  <w:insideH w:val="none" w:color="000000" w:sz="4" w:space="0"/>
          <w:insideV w:val="none" w:color="000000" w:sz="4" w:space="0"/>
        </w:tblBorders>
        <w:tblLayout w:type="autofit"/>
        <w:tblLook w:val="04A0" w:firstRow="1" w:lastRow="0" w:firstColumn="1" w:lastColumn="0" w:noHBand="0" w:noVBand="1"/>
      </w:tblPr>
      <w:tblGrid>
        <w:gridCol w:w="3275"/>
        <w:gridCol w:w="2805"/>
        <w:gridCol w:w="3275"/>
      </w:tblGrid>
      <w:tr>
        <w:trPr/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280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 </w:t>
            </w:r>
            <w:r>
              <w:rPr>
                <w:sz w:val="24"/>
                <w:szCs w:val="24"/>
              </w:rPr>
            </w:r>
          </w:p>
        </w:tc>
        <w:tc>
          <w:tcPr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108" w:type="dxa"/>
              <w:top w:w="0" w:type="dxa"/>
              <w:right w:w="108" w:type="dxa"/>
              <w:bottom w:w="0" w:type="dxa"/>
            </w:tcMar>
            <w:tcW w:w="3275" w:type="dxa"/>
            <w:vAlign w:val="top"/>
            <w:textDirection w:val="lrTb"/>
            <w:noWrap w:val="false"/>
          </w:tcPr>
          <w:p>
            <w:pPr>
              <w:pBdr>
                <w:top w:val="none" w:color="000000" w:sz="4" w:space="0"/>
                <w:left w:val="none" w:color="000000" w:sz="4" w:space="0"/>
                <w:bottom w:val="none" w:color="000000" w:sz="4" w:space="0"/>
                <w:right w:val="none" w:color="000000" w:sz="4" w:space="0"/>
              </w:pBdr>
              <w:spacing w:line="229" w:lineRule="atLeast"/>
              <w:ind w:right="0" w:firstLine="0" w:left="0"/>
              <w:jc w:val="center"/>
              <w:rPr>
                <w:sz w:val="24"/>
                <w:szCs w:val="24"/>
              </w:rPr>
            </w:pPr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</w:r>
            <w:bookmarkStart w:id="1" w:name="pr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t xml:space="preserve">Приложение</w:t>
            </w:r>
            <w:bookmarkEnd w:id="1"/>
            <w:r>
              <w:rPr>
                <w:rFonts w:ascii="Arial" w:hAnsi="Arial" w:eastAsia="Arial" w:cs="Arial"/>
                <w:color w:val="000000"/>
                <w:sz w:val="24"/>
                <w:szCs w:val="24"/>
              </w:rPr>
              <w:br/>
              <w:t xml:space="preserve">к постановлению Правления Национального банка Кыргызской Республики</w:t>
              <w:br/>
              <w:t xml:space="preserve">от 8 октября 2025 года № 2025-П-12/50-4-(НПА)</w:t>
            </w:r>
            <w:r>
              <w:rPr>
                <w:sz w:val="24"/>
                <w:szCs w:val="24"/>
              </w:rPr>
            </w:r>
          </w:p>
        </w:tc>
      </w:tr>
    </w:tbl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  <w:r>
        <w:rPr>
          <w:rFonts w:ascii="Arial" w:hAnsi="Arial" w:eastAsia="Arial" w:cs="Arial"/>
          <w:b/>
          <w:color w:val="000000"/>
          <w:sz w:val="24"/>
          <w:szCs w:val="24"/>
          <w:highlight w:val="none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76" w:lineRule="atLeast"/>
        <w:ind w:right="1134" w:firstLine="0" w:left="1134"/>
        <w:jc w:val="center"/>
        <w:rPr>
          <w:rFonts w:ascii="Arial" w:hAnsi="Arial" w:eastAsia="Arial" w:cs="Arial"/>
          <w:b/>
          <w:bCs/>
          <w:color w:val="000000"/>
          <w:sz w:val="24"/>
          <w:szCs w:val="24"/>
          <w:highlight w:val="none"/>
        </w:rPr>
      </w:pPr>
      <w:r>
        <w:rPr>
          <w:rFonts w:ascii="Arial" w:hAnsi="Arial" w:eastAsia="Arial" w:cs="Arial"/>
          <w:b/>
          <w:color w:val="000000"/>
          <w:sz w:val="24"/>
          <w:szCs w:val="24"/>
        </w:rPr>
        <w:t xml:space="preserve">ИЗМЕНЕНИЯ</w:t>
        <w:br/>
        <w:t xml:space="preserve">в некоторые нормативные правовые акты Национального банка Кыргызской Республики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1. Внести в </w:t>
      </w:r>
      <w:hyperlink r:id="rId22" w:tooltip="https://cbd.minjust.gov.kg/31199/edition/1086370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23" w:tooltip="https://cbd.minjust.gov.kg/46-3625/edition/1086384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Комитете по надзору Национального банка Кыргызской Республики" от 19 марта 2005 года № 6/2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4" w:tooltip="https://cbd.minjust.gov.kg/46-3625/edition/1086384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Комитете по надзору Национального банка Кыргызской Республики", утвержденном вышеуказанным </w:t>
      </w:r>
      <w:hyperlink r:id="rId25" w:tooltip="https://cbd.minjust.gov.kg/31199/edition/1086370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в пункте 2.1: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ж)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"ж) введение прямого банковского надзора в соответствии с нормативными правовыми актами Национального банка;";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з)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"з) введение временной администрации в НФКО, за исключением МФК, привлекающих депозиты;";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 и)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"и) приостановление действия/отзыв лицензии НФКО, за исключением МФК, привлекающих депозиты;";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подпункты к) и л) признать утратившими силу;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четырнадцатый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"Комитет рассматривает другие вопросы, делегированные Комитету Правлением Национального банка, а также отдельные вопросы при введении и осуществлении Временной администрации и ликвидации банков.";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абзацы шестнадцатый и семнадцатый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"- о введении временной администрации в НФКО, за исключением МФК, привлекающих депозиты;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о приостановлении/отзыве лицензии НФКО, за исключением МФК, привлекающих депозиты;";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абзац восемнадцатый признать утратившим силу;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в пункте 2.1-1 абзац второй признать утратившим силу.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2. Внести в </w:t>
      </w:r>
      <w:hyperlink r:id="rId26" w:tooltip="https://cbd.minjust.gov.kg/8-784/edition/1081755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r:id="rId27" w:tooltip="https://cbd.minjust.gov.kg/800764/edition/1088582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ликвидации банков" от 8 июня 2017 года № 2017-П-12/23-5-(НПА) следующее изменение: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hyperlink r:id="rId28" w:tooltip="https://cbd.minjust.gov.kg/800764/edition/1088582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"О ликвидации банков", утвержденном вышеуказанным </w:t>
      </w:r>
      <w:hyperlink r:id="rId29" w:tooltip="https://cbd.minjust.gov.kg/8-784/edition/1081755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пункт 25 дополнить абзацами шестнадцатым и семнадцатым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"Текущие отчеты ликвидатора о ходе проведения ликвидации заслушиваются комитетом по надзору Национального банка.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Комитет по надзору Национального банка при необходимости может рекомендовать вынести отдельные вопросы на рассмотрение Правлением Национального банка.".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Временной администрации" от 8 июня 2017 года № 2017-П-12/23-8-(НПА)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Положении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Временной администрации",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пункт 8 дополнить абзацем четырнадцатым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"Комитет по надзору вправе принимать решения по изменению режима работы банка, включая порядок осуществления банком расчетов и платежей, а также снятию ограничений деятельности, налагаемых на банк.";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пункт 17 дополнить абзацем вторым следующего содержания: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"Решение по изменению состава Временной администрации в банке принимается Комитетом по надзору.";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3) пункт 41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"41. Временный администратор ежемесячно, в течение 10 рабочих дней месяца, следующего за отчетным, представляет в Национальный банк (на имя Председателя Комитета по надзору/Комитета по платежной системе Национального банка) отчет о проделанной работе согла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сно приложениям </w:t>
      </w:r>
      <w:r>
        <w:rPr>
          <w:rFonts w:ascii="Arial" w:hAnsi="Arial" w:eastAsia="Arial" w:cs="Arial"/>
          <w:sz w:val="24"/>
          <w:szCs w:val="24"/>
        </w:rPr>
        <w:t xml:space="preserve">2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, </w:t>
      </w:r>
      <w:r>
        <w:rPr>
          <w:rFonts w:ascii="Arial" w:hAnsi="Arial" w:eastAsia="Arial" w:cs="Arial"/>
          <w:sz w:val="24"/>
          <w:szCs w:val="24"/>
        </w:rPr>
        <w:t xml:space="preserve">2-1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к настоящему Положению, с пояснительной запиской.";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4) в абзаце втором пункта 42 исключить слово "Правление/";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5) в абзаце первом пункта 45 исключить слово "Правления/".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4.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порядке проведения отдельных банковских операций банками Кыргызской Республики в случае введения режима Временной администрации или начала процедуры ликвидации" от 15 июня 2017 года № 2017-П-12/25-9-(НПА) следующее изменение: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Положении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порядке проведения отдельных банковских операций банками Кыргызской Республики в случае введения режима Временной администрации или начала процедуры ликвидации",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- в пункте 13 слова "Национального банка" заменить словами "Правления Национального банка по рекомендации комитета по надзору Национального банка".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5. Внести в </w:t>
      </w:r>
      <w:r>
        <w:rPr>
          <w:rFonts w:ascii="Arial" w:hAnsi="Arial" w:eastAsia="Arial" w:cs="Arial"/>
          <w:sz w:val="24"/>
          <w:szCs w:val="24"/>
        </w:rPr>
        <w:t xml:space="preserve">постановление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Правления Национального банка Кыргызской Республики "Об утверждении </w:t>
      </w:r>
      <w:r>
        <w:rPr>
          <w:rFonts w:ascii="Arial" w:hAnsi="Arial" w:eastAsia="Arial" w:cs="Arial"/>
          <w:sz w:val="24"/>
          <w:szCs w:val="24"/>
        </w:rPr>
        <w:t xml:space="preserve">Положения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мерах воздействия, применяемых к небанковским финансово-кредитным организациям и другим юридическим лицам, поднадзорным Национальному банку Кыргызской Республики" от 23 декабря 2020 года № 2020-П-33/73-12-(НФКУ) следующие изменения: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в </w:t>
      </w:r>
      <w:r>
        <w:rPr>
          <w:rFonts w:ascii="Arial" w:hAnsi="Arial" w:eastAsia="Arial" w:cs="Arial"/>
          <w:sz w:val="24"/>
          <w:szCs w:val="24"/>
        </w:rPr>
        <w:t xml:space="preserve">Положение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 "О мерах воздействия, применяемых к небанковским финансово-кредитным организациям и другим юридическим лицам, поднадзорным Национальному банку Кыргызской Республики", утвержденном вышеуказанным </w:t>
      </w:r>
      <w:r>
        <w:rPr>
          <w:rFonts w:ascii="Arial" w:hAnsi="Arial" w:eastAsia="Arial" w:cs="Arial"/>
          <w:sz w:val="24"/>
          <w:szCs w:val="24"/>
        </w:rPr>
        <w:t xml:space="preserve">постановлением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1) пункт 66 изложить в следующей редакции: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"66. Отзыв лицензии МФК осуществляется по основаниям, изложенным в </w:t>
      </w:r>
      <w:hyperlink r:id="rId30" w:tooltip="https://cbd.minjust.gov.kg/4-1029/edition/35838/ru" w:history="1">
        <w:r>
          <w:rPr>
            <w:rStyle w:val="876"/>
            <w:rFonts w:ascii="Arial" w:hAnsi="Arial" w:eastAsia="Arial" w:cs="Arial"/>
            <w:color w:val="0000ff"/>
            <w:sz w:val="24"/>
            <w:szCs w:val="24"/>
            <w:u w:val="single"/>
          </w:rPr>
          <w:t xml:space="preserve">Законе</w:t>
        </w:r>
      </w:hyperlink>
      <w:r>
        <w:rPr>
          <w:rFonts w:ascii="Arial" w:hAnsi="Arial" w:eastAsia="Arial" w:cs="Arial"/>
          <w:color w:val="000000"/>
          <w:sz w:val="24"/>
          <w:szCs w:val="24"/>
        </w:rPr>
        <w:t xml:space="preserve"> Кыргызской Республики "О микрофинансовых организациях в Кыргызской Республике". Решение об отзыве лицензии МФК, привлекающей депозиты, принимается Правлением Национального банка, а МФК, не привлекающей депозиты, - Комитетом по надзору Национального банка.</w:t>
      </w:r>
      <w:r>
        <w:rPr>
          <w:rFonts w:ascii="Arial" w:hAnsi="Arial" w:eastAsia="Arial" w:cs="Arial"/>
          <w:color w:val="000000"/>
          <w:sz w:val="24"/>
          <w:szCs w:val="24"/>
        </w:rPr>
        <w:t xml:space="preserve">";</w:t>
      </w:r>
      <w:r>
        <w:rPr>
          <w:sz w:val="24"/>
          <w:szCs w:val="24"/>
        </w:rPr>
      </w:r>
    </w:p>
    <w:p>
      <w:p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pacing w:line="229" w:lineRule="atLeast"/>
        <w:ind w:right="0" w:firstLine="567" w:left="0"/>
        <w:jc w:val="both"/>
        <w:rPr>
          <w:sz w:val="24"/>
          <w:szCs w:val="24"/>
        </w:rPr>
      </w:pPr>
      <w:r>
        <w:rPr>
          <w:rFonts w:ascii="Arial" w:hAnsi="Arial" w:eastAsia="Arial" w:cs="Arial"/>
          <w:color w:val="000000"/>
          <w:sz w:val="24"/>
          <w:szCs w:val="24"/>
        </w:rPr>
        <w:t xml:space="preserve">2) в пункте 67 слово "Правлением" заменить словами "Комитетом по надзору".</w:t>
      </w:r>
      <w:r>
        <w:rPr>
          <w:sz w:val="24"/>
          <w:szCs w:val="24"/>
        </w:rPr>
      </w:r>
    </w:p>
    <w:p>
      <w:pPr>
        <w:pBdr/>
        <w:spacing w:after="360"/>
        <w:ind/>
        <w:jc w:val="center"/>
        <w:rPr>
          <w:sz w:val="24"/>
          <w:szCs w:val="24"/>
        </w:rPr>
      </w:pPr>
      <w:r>
        <w:rPr>
          <w:sz w:val="24"/>
          <w:szCs w:val="24"/>
          <w:highlight w:val="none"/>
        </w:rPr>
      </w:r>
      <w:r>
        <w:rPr>
          <w:sz w:val="24"/>
          <w:szCs w:val="24"/>
          <w:highlight w:val="none"/>
        </w:rPr>
      </w:r>
    </w:p>
    <w:sectPr>
      <w:footnotePr/>
      <w:endnotePr/>
      <w:type w:val="nextPage"/>
      <w:pgSz w:h="16838" w:orient="portrait" w:w="11906"/>
      <w:pgMar w:top="1134" w:right="850" w:bottom="1134" w:left="1701" w:header="708" w:footer="708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87">
    <w:name w:val="FollowedHyperlink"/>
    <w:basedOn w:val="835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character" w:styleId="665">
    <w:name w:val="Heading 1 Char"/>
    <w:basedOn w:val="835"/>
    <w:link w:val="826"/>
    <w:uiPriority w:val="9"/>
    <w:pPr>
      <w:pBdr/>
      <w:spacing/>
      <w:ind/>
    </w:pPr>
    <w:rPr>
      <w:rFonts w:ascii="Arial" w:hAnsi="Arial" w:eastAsia="Arial" w:cs="Arial"/>
      <w:sz w:val="40"/>
      <w:szCs w:val="40"/>
    </w:rPr>
  </w:style>
  <w:style w:type="character" w:styleId="666">
    <w:name w:val="Heading 2 Char"/>
    <w:basedOn w:val="835"/>
    <w:link w:val="827"/>
    <w:uiPriority w:val="9"/>
    <w:pPr>
      <w:pBdr/>
      <w:spacing/>
      <w:ind/>
    </w:pPr>
    <w:rPr>
      <w:rFonts w:ascii="Arial" w:hAnsi="Arial" w:eastAsia="Arial" w:cs="Arial"/>
      <w:sz w:val="34"/>
    </w:rPr>
  </w:style>
  <w:style w:type="character" w:styleId="667">
    <w:name w:val="Heading 3 Char"/>
    <w:basedOn w:val="835"/>
    <w:link w:val="828"/>
    <w:uiPriority w:val="9"/>
    <w:pPr>
      <w:pBdr/>
      <w:spacing/>
      <w:ind/>
    </w:pPr>
    <w:rPr>
      <w:rFonts w:ascii="Arial" w:hAnsi="Arial" w:eastAsia="Arial" w:cs="Arial"/>
      <w:sz w:val="30"/>
      <w:szCs w:val="30"/>
    </w:rPr>
  </w:style>
  <w:style w:type="character" w:styleId="668">
    <w:name w:val="Heading 4 Char"/>
    <w:basedOn w:val="835"/>
    <w:link w:val="829"/>
    <w:uiPriority w:val="9"/>
    <w:pPr>
      <w:pBdr/>
      <w:spacing/>
      <w:ind/>
    </w:pPr>
    <w:rPr>
      <w:rFonts w:ascii="Arial" w:hAnsi="Arial" w:eastAsia="Arial" w:cs="Arial"/>
      <w:b/>
      <w:bCs/>
      <w:sz w:val="26"/>
      <w:szCs w:val="26"/>
    </w:rPr>
  </w:style>
  <w:style w:type="character" w:styleId="669">
    <w:name w:val="Heading 5 Char"/>
    <w:basedOn w:val="835"/>
    <w:link w:val="830"/>
    <w:uiPriority w:val="9"/>
    <w:pPr>
      <w:pBdr/>
      <w:spacing/>
      <w:ind/>
    </w:pPr>
    <w:rPr>
      <w:rFonts w:ascii="Arial" w:hAnsi="Arial" w:eastAsia="Arial" w:cs="Arial"/>
      <w:b/>
      <w:bCs/>
      <w:sz w:val="24"/>
      <w:szCs w:val="24"/>
    </w:rPr>
  </w:style>
  <w:style w:type="character" w:styleId="670">
    <w:name w:val="Heading 6 Char"/>
    <w:basedOn w:val="835"/>
    <w:link w:val="831"/>
    <w:uiPriority w:val="9"/>
    <w:pPr>
      <w:pBdr/>
      <w:spacing/>
      <w:ind/>
    </w:pPr>
    <w:rPr>
      <w:rFonts w:ascii="Arial" w:hAnsi="Arial" w:eastAsia="Arial" w:cs="Arial"/>
      <w:b/>
      <w:bCs/>
      <w:sz w:val="22"/>
      <w:szCs w:val="22"/>
    </w:rPr>
  </w:style>
  <w:style w:type="character" w:styleId="671">
    <w:name w:val="Heading 7 Char"/>
    <w:basedOn w:val="835"/>
    <w:link w:val="832"/>
    <w:uiPriority w:val="9"/>
    <w:pPr>
      <w:pBdr/>
      <w:spacing/>
      <w:ind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72">
    <w:name w:val="Heading 8 Char"/>
    <w:basedOn w:val="835"/>
    <w:link w:val="833"/>
    <w:uiPriority w:val="9"/>
    <w:pPr>
      <w:pBdr/>
      <w:spacing/>
      <w:ind/>
    </w:pPr>
    <w:rPr>
      <w:rFonts w:ascii="Arial" w:hAnsi="Arial" w:eastAsia="Arial" w:cs="Arial"/>
      <w:i/>
      <w:iCs/>
      <w:sz w:val="22"/>
      <w:szCs w:val="22"/>
    </w:rPr>
  </w:style>
  <w:style w:type="character" w:styleId="673">
    <w:name w:val="Heading 9 Char"/>
    <w:basedOn w:val="835"/>
    <w:link w:val="834"/>
    <w:uiPriority w:val="9"/>
    <w:pPr>
      <w:pBdr/>
      <w:spacing/>
      <w:ind/>
    </w:pPr>
    <w:rPr>
      <w:rFonts w:ascii="Arial" w:hAnsi="Arial" w:eastAsia="Arial" w:cs="Arial"/>
      <w:i/>
      <w:iCs/>
      <w:sz w:val="21"/>
      <w:szCs w:val="21"/>
    </w:rPr>
  </w:style>
  <w:style w:type="character" w:styleId="674">
    <w:name w:val="Title Char"/>
    <w:basedOn w:val="835"/>
    <w:link w:val="839"/>
    <w:uiPriority w:val="10"/>
    <w:pPr>
      <w:pBdr/>
      <w:spacing/>
      <w:ind/>
    </w:pPr>
    <w:rPr>
      <w:sz w:val="48"/>
      <w:szCs w:val="48"/>
    </w:rPr>
  </w:style>
  <w:style w:type="character" w:styleId="675">
    <w:name w:val="Subtitle Char"/>
    <w:basedOn w:val="835"/>
    <w:link w:val="856"/>
    <w:uiPriority w:val="11"/>
    <w:pPr>
      <w:pBdr/>
      <w:spacing/>
      <w:ind/>
    </w:pPr>
    <w:rPr>
      <w:sz w:val="24"/>
      <w:szCs w:val="24"/>
    </w:rPr>
  </w:style>
  <w:style w:type="character" w:styleId="676">
    <w:name w:val="Quote Char"/>
    <w:link w:val="861"/>
    <w:uiPriority w:val="29"/>
    <w:pPr>
      <w:pBdr/>
      <w:spacing/>
      <w:ind/>
    </w:pPr>
    <w:rPr>
      <w:i/>
    </w:rPr>
  </w:style>
  <w:style w:type="character" w:styleId="677">
    <w:name w:val="Intense Quote Char"/>
    <w:link w:val="863"/>
    <w:uiPriority w:val="30"/>
    <w:pPr>
      <w:pBdr/>
      <w:spacing/>
      <w:ind/>
    </w:pPr>
    <w:rPr>
      <w:i/>
    </w:rPr>
  </w:style>
  <w:style w:type="paragraph" w:styleId="678">
    <w:name w:val="Header"/>
    <w:basedOn w:val="825"/>
    <w:link w:val="679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79">
    <w:name w:val="Header Char"/>
    <w:basedOn w:val="835"/>
    <w:link w:val="678"/>
    <w:uiPriority w:val="99"/>
    <w:pPr>
      <w:pBdr/>
      <w:spacing/>
      <w:ind/>
    </w:pPr>
  </w:style>
  <w:style w:type="paragraph" w:styleId="680">
    <w:name w:val="Footer"/>
    <w:basedOn w:val="825"/>
    <w:link w:val="682"/>
    <w:uiPriority w:val="99"/>
    <w:unhideWhenUsed/>
    <w:pPr>
      <w:pBdr/>
      <w:tabs>
        <w:tab w:val="center" w:leader="none" w:pos="7143"/>
        <w:tab w:val="right" w:leader="none" w:pos="14287"/>
      </w:tabs>
      <w:spacing w:after="0" w:line="240" w:lineRule="auto"/>
      <w:ind/>
    </w:pPr>
  </w:style>
  <w:style w:type="character" w:styleId="681">
    <w:name w:val="Footer Char"/>
    <w:basedOn w:val="835"/>
    <w:link w:val="680"/>
    <w:uiPriority w:val="99"/>
    <w:pPr>
      <w:pBdr/>
      <w:spacing/>
      <w:ind/>
    </w:pPr>
  </w:style>
  <w:style w:type="character" w:styleId="682">
    <w:name w:val="Caption Char"/>
    <w:basedOn w:val="853"/>
    <w:link w:val="680"/>
    <w:uiPriority w:val="99"/>
    <w:pPr>
      <w:pBdr/>
      <w:spacing/>
      <w:ind/>
    </w:pPr>
  </w:style>
  <w:style w:type="table" w:styleId="683">
    <w:name w:val="Table Grid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4">
    <w:name w:val="Table Grid Light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5">
    <w:name w:val="Plain Table 1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6">
    <w:name w:val="Plain Table 2"/>
    <w:basedOn w:val="836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7">
    <w:name w:val="Plain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8">
    <w:name w:val="Plain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9">
    <w:name w:val="Plain Table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0">
    <w:name w:val="Grid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1">
    <w:name w:val="Grid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2">
    <w:name w:val="Grid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3">
    <w:name w:val="Grid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4">
    <w:name w:val="Grid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5">
    <w:name w:val="Grid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6">
    <w:name w:val="Grid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7">
    <w:name w:val="Grid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8">
    <w:name w:val="Grid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9">
    <w:name w:val="Grid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0">
    <w:name w:val="Grid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1">
    <w:name w:val="Grid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2">
    <w:name w:val="Grid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3">
    <w:name w:val="Grid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4">
    <w:name w:val="Grid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5">
    <w:name w:val="Grid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6">
    <w:name w:val="Grid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7">
    <w:name w:val="Grid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8">
    <w:name w:val="Grid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9">
    <w:name w:val="Grid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0">
    <w:name w:val="Grid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1">
    <w:name w:val="Grid Table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2">
    <w:name w:val="Grid Table 4 - Accent 1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ce6f1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3">
    <w:name w:val="Grid Table 4 - Accent 2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4">
    <w:name w:val="Grid Table 4 - Accent 3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5">
    <w:name w:val="Grid Table 4 - Accent 4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6">
    <w:name w:val="Grid Table 4 - Accent 5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7">
    <w:name w:val="Grid Table 4 - Accent 6"/>
    <w:basedOn w:val="836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8">
    <w:name w:val="Grid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9">
    <w:name w:val="Grid Table 5 Dark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dc5e0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>
    <w:name w:val="Grid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e1adac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Grid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1dfb2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Grid Table 5 Dark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c4b7d4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Grid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abd9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Grid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fbcd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Grid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e70a3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7">
    <w:name w:val="Grid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8">
    <w:name w:val="Grid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c702f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29">
    <w:name w:val="Grid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0">
    <w:name w:val="Grid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1">
    <w:name w:val="Grid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66777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32">
    <w:name w:val="Grid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ae5f1" w:themeFill="accent1" w:themeFillTint="34"/>
        <w:tcBorders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>
    <w:name w:val="Grid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>
    <w:name w:val="Grid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>
    <w:name w:val="Grid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>
    <w:name w:val="Grid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Horz">
      <w:rPr>
        <w:rFonts w:ascii="Arial" w:hAnsi="Arial"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>
    <w:name w:val="Grid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Horz">
      <w:rPr>
        <w:rFonts w:ascii="Arial" w:hAnsi="Arial"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>
    <w:name w:val="List Table 1 Light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List Table 1 Light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>
    <w:name w:val="List Table 1 Light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>
    <w:name w:val="List Table 1 Light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>
    <w:name w:val="List Table 1 Light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>
    <w:name w:val="List Table 1 Light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>
    <w:name w:val="List Table 1 Light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>
    <w:name w:val="List Table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List Table 2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>
    <w:name w:val="List Table 2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>
    <w:name w:val="List Table 2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>
    <w:name w:val="List Table 2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>
    <w:name w:val="List Table 2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>
    <w:name w:val="List Table 2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>
    <w:name w:val="List Table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List Table 3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>
    <w:name w:val="List Table 3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>
    <w:name w:val="List Table 3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>
    <w:name w:val="List Table 3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>
    <w:name w:val="List Table 3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>
    <w:name w:val="List Table 3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>
    <w:name w:val="List Table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List Table 4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>
    <w:name w:val="List Table 4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c0504d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>
    <w:name w:val="List Table 4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9bbb59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>
    <w:name w:val="List Table 4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8064a2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>
    <w:name w:val="List Table 4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>
    <w:name w:val="List Table 4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>
    <w:name w:val="List Table 5 Dark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List Table 5 Dark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69">
    <w:name w:val="List Table 5 Dark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0">
    <w:name w:val="List Table 5 Dark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1">
    <w:name w:val="List Table 5 Dark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2">
    <w:name w:val="List Table 5 Dark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3">
    <w:name w:val="List Table 5 Dark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74">
    <w:name w:val="List Table 6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6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a4b71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>
    <w:name w:val="List Table 6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9c3a37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>
    <w:name w:val="List Table 6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c983f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>
    <w:name w:val="List Table 6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64f82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>
    <w:name w:val="List Table 6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38aa0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>
    <w:name w:val="List Table 6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9680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>
    <w:name w:val="List Table 7 Colorful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7 Colorful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3e0ee" w:themeFill="accent1" w:themeFillTint="40"/>
        <w:tcBorders/>
      </w:tcPr>
    </w:tblStylePr>
    <w:tblStylePr w:type="band2Horz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a4b71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3">
    <w:name w:val="List Table 7 Colorful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efd3d2" w:themeFill="accent2" w:themeFillTint="40"/>
        <w:tcBorders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4">
    <w:name w:val="List Table 7 Colorful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6eed5" w:themeFill="accent3" w:themeFillTint="40"/>
        <w:tcBorders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5">
    <w:name w:val="List Table 7 Colorful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dfd8e7" w:themeFill="accent4" w:themeFillTint="40"/>
        <w:tcBorders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6">
    <w:name w:val="List Table 7 Colorful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1eaf0" w:themeFill="accent5" w:themeFillTint="40"/>
        <w:tcBorders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7">
    <w:name w:val="List Table 7 Colorful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fce4d1" w:themeFill="accent6" w:themeFillTint="40"/>
        <w:tcBorders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788">
    <w:name w:val="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>
    <w:name w:val="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>
    <w:name w:val="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>
    <w:name w:val="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>
    <w:name w:val="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>
    <w:name w:val="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>
    <w:name w:val="Bordered &amp; Lined - Accent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Bordered &amp; Lined - Accent 1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7d7ea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d8dc2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>
    <w:name w:val="Bordered &amp; Lined - Accent 2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2dcdb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d9969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>
    <w:name w:val="Bordered &amp; Lined - Accent 3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af0d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9bba59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>
    <w:name w:val="Bordered &amp; Lined - Accent 4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e5dfec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b2a1c6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>
    <w:name w:val="Bordered &amp; Lined - Accent 5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aee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4bacc6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>
    <w:name w:val="Bordered &amp; Lined - Accent 6"/>
    <w:basedOn w:val="836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fde9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f79646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>
    <w:name w:val="Bordered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Bordered - Accent 1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>
    <w:name w:val="Bordered - Accent 2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>
    <w:name w:val="Bordered - Accent 3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>
    <w:name w:val="Bordered - Accent 4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>
    <w:name w:val="Bordered - Accent 5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>
    <w:name w:val="Bordered - Accent 6"/>
    <w:basedOn w:val="836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09">
    <w:name w:val="footnote text"/>
    <w:basedOn w:val="825"/>
    <w:link w:val="810"/>
    <w:uiPriority w:val="99"/>
    <w:semiHidden/>
    <w:unhideWhenUsed/>
    <w:pPr>
      <w:pBdr/>
      <w:spacing w:after="40" w:line="240" w:lineRule="auto"/>
      <w:ind/>
    </w:pPr>
    <w:rPr>
      <w:sz w:val="18"/>
    </w:rPr>
  </w:style>
  <w:style w:type="character" w:styleId="810">
    <w:name w:val="Footnote Text Char"/>
    <w:link w:val="809"/>
    <w:uiPriority w:val="99"/>
    <w:pPr>
      <w:pBdr/>
      <w:spacing/>
      <w:ind/>
    </w:pPr>
    <w:rPr>
      <w:sz w:val="18"/>
    </w:rPr>
  </w:style>
  <w:style w:type="character" w:styleId="811">
    <w:name w:val="footnote reference"/>
    <w:basedOn w:val="835"/>
    <w:uiPriority w:val="99"/>
    <w:unhideWhenUsed/>
    <w:pPr>
      <w:pBdr/>
      <w:spacing/>
      <w:ind/>
    </w:pPr>
    <w:rPr>
      <w:vertAlign w:val="superscript"/>
    </w:rPr>
  </w:style>
  <w:style w:type="paragraph" w:styleId="812">
    <w:name w:val="endnote text"/>
    <w:basedOn w:val="825"/>
    <w:link w:val="813"/>
    <w:uiPriority w:val="99"/>
    <w:semiHidden/>
    <w:unhideWhenUsed/>
    <w:pPr>
      <w:pBdr/>
      <w:spacing w:after="0" w:line="240" w:lineRule="auto"/>
      <w:ind/>
    </w:pPr>
    <w:rPr>
      <w:sz w:val="20"/>
    </w:rPr>
  </w:style>
  <w:style w:type="character" w:styleId="813">
    <w:name w:val="Endnote Text Char"/>
    <w:link w:val="812"/>
    <w:uiPriority w:val="99"/>
    <w:pPr>
      <w:pBdr/>
      <w:spacing/>
      <w:ind/>
    </w:pPr>
    <w:rPr>
      <w:sz w:val="20"/>
    </w:rPr>
  </w:style>
  <w:style w:type="character" w:styleId="814">
    <w:name w:val="endnote reference"/>
    <w:basedOn w:val="835"/>
    <w:uiPriority w:val="99"/>
    <w:semiHidden/>
    <w:unhideWhenUsed/>
    <w:pPr>
      <w:pBdr/>
      <w:spacing/>
      <w:ind/>
    </w:pPr>
    <w:rPr>
      <w:vertAlign w:val="superscript"/>
    </w:rPr>
  </w:style>
  <w:style w:type="paragraph" w:styleId="815">
    <w:name w:val="toc 1"/>
    <w:basedOn w:val="825"/>
    <w:next w:val="825"/>
    <w:uiPriority w:val="39"/>
    <w:unhideWhenUsed/>
    <w:pPr>
      <w:pBdr/>
      <w:spacing w:after="57"/>
      <w:ind w:right="0" w:firstLine="0" w:left="0"/>
    </w:pPr>
  </w:style>
  <w:style w:type="paragraph" w:styleId="816">
    <w:name w:val="toc 2"/>
    <w:basedOn w:val="825"/>
    <w:next w:val="825"/>
    <w:uiPriority w:val="39"/>
    <w:unhideWhenUsed/>
    <w:pPr>
      <w:pBdr/>
      <w:spacing w:after="57"/>
      <w:ind w:right="0" w:firstLine="0" w:left="283"/>
    </w:pPr>
  </w:style>
  <w:style w:type="paragraph" w:styleId="817">
    <w:name w:val="toc 3"/>
    <w:basedOn w:val="825"/>
    <w:next w:val="825"/>
    <w:uiPriority w:val="39"/>
    <w:unhideWhenUsed/>
    <w:pPr>
      <w:pBdr/>
      <w:spacing w:after="57"/>
      <w:ind w:right="0" w:firstLine="0" w:left="567"/>
    </w:pPr>
  </w:style>
  <w:style w:type="paragraph" w:styleId="818">
    <w:name w:val="toc 4"/>
    <w:basedOn w:val="825"/>
    <w:next w:val="825"/>
    <w:uiPriority w:val="39"/>
    <w:unhideWhenUsed/>
    <w:pPr>
      <w:pBdr/>
      <w:spacing w:after="57"/>
      <w:ind w:right="0" w:firstLine="0" w:left="850"/>
    </w:pPr>
  </w:style>
  <w:style w:type="paragraph" w:styleId="819">
    <w:name w:val="toc 5"/>
    <w:basedOn w:val="825"/>
    <w:next w:val="825"/>
    <w:uiPriority w:val="39"/>
    <w:unhideWhenUsed/>
    <w:pPr>
      <w:pBdr/>
      <w:spacing w:after="57"/>
      <w:ind w:right="0" w:firstLine="0" w:left="1134"/>
    </w:pPr>
  </w:style>
  <w:style w:type="paragraph" w:styleId="820">
    <w:name w:val="toc 6"/>
    <w:basedOn w:val="825"/>
    <w:next w:val="825"/>
    <w:uiPriority w:val="39"/>
    <w:unhideWhenUsed/>
    <w:pPr>
      <w:pBdr/>
      <w:spacing w:after="57"/>
      <w:ind w:right="0" w:firstLine="0" w:left="1417"/>
    </w:pPr>
  </w:style>
  <w:style w:type="paragraph" w:styleId="821">
    <w:name w:val="toc 7"/>
    <w:basedOn w:val="825"/>
    <w:next w:val="825"/>
    <w:uiPriority w:val="39"/>
    <w:unhideWhenUsed/>
    <w:pPr>
      <w:pBdr/>
      <w:spacing w:after="57"/>
      <w:ind w:right="0" w:firstLine="0" w:left="1701"/>
    </w:pPr>
  </w:style>
  <w:style w:type="paragraph" w:styleId="822">
    <w:name w:val="toc 8"/>
    <w:basedOn w:val="825"/>
    <w:next w:val="825"/>
    <w:uiPriority w:val="39"/>
    <w:unhideWhenUsed/>
    <w:pPr>
      <w:pBdr/>
      <w:spacing w:after="57"/>
      <w:ind w:right="0" w:firstLine="0" w:left="1984"/>
    </w:pPr>
  </w:style>
  <w:style w:type="paragraph" w:styleId="823">
    <w:name w:val="toc 9"/>
    <w:basedOn w:val="825"/>
    <w:next w:val="825"/>
    <w:uiPriority w:val="39"/>
    <w:unhideWhenUsed/>
    <w:pPr>
      <w:pBdr/>
      <w:spacing w:after="57"/>
      <w:ind w:right="0" w:firstLine="0" w:left="2268"/>
    </w:pPr>
  </w:style>
  <w:style w:type="paragraph" w:styleId="824">
    <w:name w:val="table of figures"/>
    <w:basedOn w:val="825"/>
    <w:next w:val="825"/>
    <w:uiPriority w:val="99"/>
    <w:unhideWhenUsed/>
    <w:pPr>
      <w:pBdr/>
      <w:spacing w:after="0" w:afterAutospacing="0"/>
      <w:ind/>
    </w:pPr>
  </w:style>
  <w:style w:type="paragraph" w:styleId="825" w:default="1">
    <w:name w:val="Normal"/>
    <w:qFormat/>
    <w:pPr>
      <w:pBdr/>
      <w:spacing w:after="120" w:line="240" w:lineRule="auto"/>
      <w:ind w:firstLine="397"/>
      <w:jc w:val="both"/>
    </w:pPr>
    <w:rPr>
      <w:rFonts w:ascii="Arial" w:hAnsi="Arial" w:cs="Arial" w:eastAsiaTheme="minorEastAsia"/>
      <w:sz w:val="24"/>
      <w:szCs w:val="24"/>
      <w:lang w:eastAsia="ru-RU"/>
    </w:rPr>
  </w:style>
  <w:style w:type="paragraph" w:styleId="826">
    <w:name w:val="Heading 1"/>
    <w:basedOn w:val="825"/>
    <w:next w:val="825"/>
    <w:link w:val="844"/>
    <w:uiPriority w:val="9"/>
    <w:qFormat/>
    <w:pPr>
      <w:keepNext w:val="true"/>
      <w:keepLines w:val="true"/>
      <w:pBdr/>
      <w:spacing w:after="0" w:before="480"/>
      <w:ind w:firstLine="0"/>
      <w:jc w:val="center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827">
    <w:name w:val="Heading 2"/>
    <w:basedOn w:val="825"/>
    <w:next w:val="825"/>
    <w:link w:val="845"/>
    <w:uiPriority w:val="9"/>
    <w:qFormat/>
    <w:pPr>
      <w:keepNext w:val="true"/>
      <w:keepLines w:val="true"/>
      <w:pBdr/>
      <w:spacing w:after="0" w:before="200"/>
      <w:ind w:firstLine="0"/>
      <w:jc w:val="center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828">
    <w:name w:val="Heading 3"/>
    <w:basedOn w:val="825"/>
    <w:next w:val="825"/>
    <w:link w:val="846"/>
    <w:uiPriority w:val="9"/>
    <w:qFormat/>
    <w:pPr>
      <w:keepNext w:val="true"/>
      <w:keepLines w:val="true"/>
      <w:pBdr/>
      <w:spacing w:before="200"/>
      <w:ind/>
      <w:jc w:val="left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829">
    <w:name w:val="Heading 4"/>
    <w:basedOn w:val="825"/>
    <w:next w:val="825"/>
    <w:link w:val="847"/>
    <w:uiPriority w:val="9"/>
    <w:qFormat/>
    <w:pPr>
      <w:keepNext w:val="true"/>
      <w:keepLines w:val="true"/>
      <w:pBdr/>
      <w:spacing w:after="0" w:before="200"/>
      <w:ind/>
      <w:jc w:val="left"/>
      <w:outlineLvl w:val="3"/>
    </w:pPr>
    <w:rPr>
      <w:rFonts w:eastAsiaTheme="majorEastAsia" w:cstheme="majorBidi"/>
      <w:b/>
      <w:bCs/>
      <w:i/>
      <w:iCs/>
      <w:szCs w:val="22"/>
      <w:lang w:eastAsia="en-US"/>
    </w:rPr>
  </w:style>
  <w:style w:type="paragraph" w:styleId="830">
    <w:name w:val="Heading 5"/>
    <w:basedOn w:val="825"/>
    <w:next w:val="825"/>
    <w:link w:val="848"/>
    <w:uiPriority w:val="9"/>
    <w:semiHidden/>
    <w:qFormat/>
    <w:pPr>
      <w:keepNext w:val="true"/>
      <w:keepLines w:val="true"/>
      <w:pBdr/>
      <w:spacing w:after="0" w:before="200"/>
      <w:ind/>
      <w:outlineLvl w:val="4"/>
    </w:pPr>
    <w:rPr>
      <w:rFonts w:asciiTheme="majorHAnsi" w:hAnsiTheme="majorHAnsi" w:eastAsiaTheme="majorEastAsia" w:cstheme="majorBidi"/>
      <w:color w:val="243f60" w:themeColor="accent1" w:themeShade="7F"/>
      <w:szCs w:val="22"/>
      <w:lang w:eastAsia="en-US"/>
    </w:rPr>
  </w:style>
  <w:style w:type="paragraph" w:styleId="831">
    <w:name w:val="Heading 6"/>
    <w:basedOn w:val="825"/>
    <w:next w:val="825"/>
    <w:link w:val="849"/>
    <w:uiPriority w:val="9"/>
    <w:semiHidden/>
    <w:qFormat/>
    <w:pPr>
      <w:keepNext w:val="true"/>
      <w:keepLines w:val="true"/>
      <w:pBdr/>
      <w:spacing w:after="0" w:before="200"/>
      <w:ind/>
      <w:outlineLvl w:val="5"/>
    </w:pPr>
    <w:rPr>
      <w:rFonts w:asciiTheme="majorHAnsi" w:hAnsiTheme="majorHAnsi" w:eastAsiaTheme="majorEastAsia" w:cstheme="majorBidi"/>
      <w:i/>
      <w:iCs/>
      <w:color w:val="243f60" w:themeColor="accent1" w:themeShade="7F"/>
      <w:szCs w:val="22"/>
      <w:lang w:eastAsia="en-US"/>
    </w:rPr>
  </w:style>
  <w:style w:type="paragraph" w:styleId="832">
    <w:name w:val="Heading 7"/>
    <w:basedOn w:val="825"/>
    <w:next w:val="825"/>
    <w:link w:val="850"/>
    <w:uiPriority w:val="9"/>
    <w:semiHidden/>
    <w:qFormat/>
    <w:pPr>
      <w:keepNext w:val="true"/>
      <w:keepLines w:val="true"/>
      <w:pBdr/>
      <w:spacing w:after="0" w:before="200"/>
      <w:ind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:szCs w:val="22"/>
      <w:lang w:eastAsia="en-US"/>
    </w:rPr>
  </w:style>
  <w:style w:type="paragraph" w:styleId="833">
    <w:name w:val="Heading 8"/>
    <w:basedOn w:val="825"/>
    <w:next w:val="825"/>
    <w:link w:val="851"/>
    <w:uiPriority w:val="9"/>
    <w:semiHidden/>
    <w:qFormat/>
    <w:pPr>
      <w:keepNext w:val="true"/>
      <w:keepLines w:val="true"/>
      <w:pBdr/>
      <w:spacing w:after="0" w:before="200"/>
      <w:ind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:lang w:eastAsia="en-US"/>
    </w:rPr>
  </w:style>
  <w:style w:type="paragraph" w:styleId="834">
    <w:name w:val="Heading 9"/>
    <w:basedOn w:val="825"/>
    <w:next w:val="825"/>
    <w:link w:val="852"/>
    <w:uiPriority w:val="9"/>
    <w:semiHidden/>
    <w:qFormat/>
    <w:pPr>
      <w:keepNext w:val="true"/>
      <w:keepLines w:val="true"/>
      <w:pBdr/>
      <w:spacing w:after="0" w:before="200"/>
      <w:ind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:lang w:eastAsia="en-US"/>
    </w:rPr>
  </w:style>
  <w:style w:type="character" w:styleId="835" w:default="1">
    <w:name w:val="Default Paragraph Font"/>
    <w:uiPriority w:val="1"/>
    <w:semiHidden/>
    <w:unhideWhenUsed/>
    <w:pPr>
      <w:pBdr/>
      <w:spacing/>
      <w:ind/>
    </w:pPr>
  </w:style>
  <w:style w:type="table" w:styleId="836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37" w:default="1">
    <w:name w:val="No List"/>
    <w:uiPriority w:val="99"/>
    <w:semiHidden/>
    <w:unhideWhenUsed/>
    <w:pPr>
      <w:pBdr/>
      <w:spacing/>
      <w:ind/>
    </w:pPr>
  </w:style>
  <w:style w:type="paragraph" w:styleId="838" w:customStyle="1">
    <w:name w:val="Реквизит"/>
    <w:basedOn w:val="825"/>
    <w:pPr>
      <w:pBdr/>
      <w:spacing w:after="240"/>
      <w:ind w:firstLine="0"/>
      <w:jc w:val="left"/>
    </w:pPr>
    <w:rPr>
      <w:rFonts w:eastAsiaTheme="minorHAnsi" w:cstheme="minorBidi"/>
      <w:szCs w:val="22"/>
      <w:lang w:eastAsia="en-US"/>
    </w:rPr>
  </w:style>
  <w:style w:type="paragraph" w:styleId="839">
    <w:name w:val="Title"/>
    <w:basedOn w:val="825"/>
    <w:link w:val="840"/>
    <w:uiPriority w:val="10"/>
    <w:qFormat/>
    <w:pPr>
      <w:pBdr/>
      <w:spacing w:after="480"/>
      <w:ind w:firstLine="0"/>
      <w:jc w:val="center"/>
    </w:pPr>
    <w:rPr>
      <w:rFonts w:cstheme="minorBidi"/>
      <w:b/>
      <w:bCs/>
      <w:spacing w:val="5"/>
      <w:sz w:val="28"/>
      <w:szCs w:val="28"/>
      <w:lang w:eastAsia="en-US"/>
    </w:rPr>
  </w:style>
  <w:style w:type="character" w:styleId="840" w:customStyle="1">
    <w:name w:val="Заголовок Знак"/>
    <w:basedOn w:val="835"/>
    <w:link w:val="839"/>
    <w:uiPriority w:val="10"/>
    <w:pPr>
      <w:pBdr/>
      <w:spacing/>
      <w:ind/>
    </w:pPr>
    <w:rPr>
      <w:rFonts w:ascii="Arial" w:hAnsi="Arial" w:eastAsiaTheme="minorEastAsia"/>
      <w:b/>
      <w:bCs/>
      <w:spacing w:val="5"/>
      <w:sz w:val="28"/>
      <w:szCs w:val="28"/>
    </w:rPr>
  </w:style>
  <w:style w:type="paragraph" w:styleId="841">
    <w:name w:val="Message Header"/>
    <w:basedOn w:val="825"/>
    <w:link w:val="842"/>
    <w:uiPriority w:val="99"/>
    <w:pPr>
      <w:pBdr/>
      <w:spacing w:after="480"/>
      <w:ind w:firstLine="0"/>
      <w:jc w:val="center"/>
    </w:pPr>
    <w:rPr>
      <w:rFonts w:eastAsiaTheme="majorEastAsia" w:cstheme="majorBidi"/>
      <w:b/>
      <w:sz w:val="32"/>
      <w:lang w:eastAsia="en-US"/>
    </w:rPr>
  </w:style>
  <w:style w:type="character" w:styleId="842" w:customStyle="1">
    <w:name w:val="Шапка Знак"/>
    <w:basedOn w:val="835"/>
    <w:link w:val="841"/>
    <w:uiPriority w:val="99"/>
    <w:pPr>
      <w:pBdr/>
      <w:spacing/>
      <w:ind/>
    </w:pPr>
    <w:rPr>
      <w:rFonts w:ascii="Arial" w:hAnsi="Arial" w:eastAsiaTheme="majorEastAsia" w:cstheme="majorBidi"/>
      <w:b/>
      <w:sz w:val="32"/>
      <w:szCs w:val="24"/>
    </w:rPr>
  </w:style>
  <w:style w:type="paragraph" w:styleId="843">
    <w:name w:val="No Spacing"/>
    <w:uiPriority w:val="1"/>
    <w:semiHidden/>
    <w:qFormat/>
    <w:pPr>
      <w:pBdr/>
      <w:spacing w:after="0" w:line="240" w:lineRule="auto"/>
      <w:ind/>
    </w:pPr>
    <w:rPr>
      <w:rFonts w:eastAsiaTheme="minorEastAsia"/>
    </w:rPr>
  </w:style>
  <w:style w:type="character" w:styleId="844" w:customStyle="1">
    <w:name w:val="Заголовок 1 Знак"/>
    <w:basedOn w:val="835"/>
    <w:link w:val="826"/>
    <w:uiPriority w:val="9"/>
    <w:pPr>
      <w:pBdr/>
      <w:spacing/>
      <w:ind/>
    </w:pPr>
    <w:rPr>
      <w:rFonts w:ascii="Arial" w:hAnsi="Arial" w:eastAsiaTheme="majorEastAsia" w:cstheme="majorBidi"/>
      <w:b/>
      <w:bCs/>
      <w:sz w:val="28"/>
      <w:szCs w:val="28"/>
    </w:rPr>
  </w:style>
  <w:style w:type="character" w:styleId="845" w:customStyle="1">
    <w:name w:val="Заголовок 2 Знак"/>
    <w:basedOn w:val="835"/>
    <w:link w:val="827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  <w:szCs w:val="26"/>
    </w:rPr>
  </w:style>
  <w:style w:type="character" w:styleId="846" w:customStyle="1">
    <w:name w:val="Заголовок 3 Знак"/>
    <w:basedOn w:val="835"/>
    <w:link w:val="828"/>
    <w:uiPriority w:val="9"/>
    <w:pPr>
      <w:pBdr/>
      <w:spacing/>
      <w:ind/>
    </w:pPr>
    <w:rPr>
      <w:rFonts w:ascii="Arial" w:hAnsi="Arial" w:eastAsiaTheme="majorEastAsia" w:cstheme="majorBidi"/>
      <w:b/>
      <w:bCs/>
      <w:sz w:val="24"/>
    </w:rPr>
  </w:style>
  <w:style w:type="character" w:styleId="847" w:customStyle="1">
    <w:name w:val="Заголовок 4 Знак"/>
    <w:basedOn w:val="835"/>
    <w:link w:val="829"/>
    <w:uiPriority w:val="9"/>
    <w:pPr>
      <w:pBdr/>
      <w:spacing/>
      <w:ind/>
    </w:pPr>
    <w:rPr>
      <w:rFonts w:ascii="Arial" w:hAnsi="Arial" w:eastAsiaTheme="majorEastAsia" w:cstheme="majorBidi"/>
      <w:b/>
      <w:bCs/>
      <w:i/>
      <w:iCs/>
      <w:sz w:val="24"/>
    </w:rPr>
  </w:style>
  <w:style w:type="character" w:styleId="848" w:customStyle="1">
    <w:name w:val="Заголовок 5 Знак"/>
    <w:basedOn w:val="835"/>
    <w:link w:val="830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243f60" w:themeColor="accent1" w:themeShade="7F"/>
    </w:rPr>
  </w:style>
  <w:style w:type="character" w:styleId="849" w:customStyle="1">
    <w:name w:val="Заголовок 6 Знак"/>
    <w:basedOn w:val="835"/>
    <w:link w:val="831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243f60" w:themeColor="accent1" w:themeShade="7F"/>
    </w:rPr>
  </w:style>
  <w:style w:type="character" w:styleId="850" w:customStyle="1">
    <w:name w:val="Заголовок 7 Знак"/>
    <w:basedOn w:val="835"/>
    <w:link w:val="832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</w:rPr>
  </w:style>
  <w:style w:type="character" w:styleId="851" w:customStyle="1">
    <w:name w:val="Заголовок 8 Знак"/>
    <w:basedOn w:val="835"/>
    <w:link w:val="833"/>
    <w:uiPriority w:val="9"/>
    <w:semiHidden/>
    <w:pPr>
      <w:pBdr/>
      <w:spacing/>
      <w:ind/>
    </w:pPr>
    <w:rPr>
      <w:rFonts w:asciiTheme="majorHAnsi" w:hAnsiTheme="majorHAnsi" w:eastAsiaTheme="majorEastAsia" w:cstheme="majorBidi"/>
      <w:color w:val="4f81bd" w:themeColor="accent1"/>
      <w:sz w:val="20"/>
      <w:szCs w:val="20"/>
    </w:rPr>
  </w:style>
  <w:style w:type="character" w:styleId="852" w:customStyle="1">
    <w:name w:val="Заголовок 9 Знак"/>
    <w:basedOn w:val="835"/>
    <w:link w:val="834"/>
    <w:uiPriority w:val="9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</w:rPr>
  </w:style>
  <w:style w:type="paragraph" w:styleId="853">
    <w:name w:val="Caption"/>
    <w:basedOn w:val="825"/>
    <w:next w:val="825"/>
    <w:uiPriority w:val="35"/>
    <w:semiHidden/>
    <w:qFormat/>
    <w:pPr>
      <w:pBdr/>
      <w:spacing/>
      <w:ind/>
    </w:pPr>
    <w:rPr>
      <w:rFonts w:eastAsiaTheme="minorHAnsi" w:cstheme="minorBidi"/>
      <w:b/>
      <w:bCs/>
      <w:color w:val="4f81bd" w:themeColor="accent1"/>
      <w:sz w:val="18"/>
      <w:szCs w:val="18"/>
      <w:lang w:eastAsia="en-US"/>
    </w:rPr>
  </w:style>
  <w:style w:type="paragraph" w:styleId="854">
    <w:name w:val="Signature"/>
    <w:basedOn w:val="825"/>
    <w:link w:val="855"/>
    <w:uiPriority w:val="99"/>
    <w:pPr>
      <w:pBdr/>
      <w:spacing w:after="0"/>
      <w:ind w:firstLine="0"/>
      <w:jc w:val="left"/>
    </w:pPr>
    <w:rPr>
      <w:rFonts w:eastAsiaTheme="minorHAnsi" w:cstheme="minorBidi"/>
      <w:b/>
      <w:szCs w:val="22"/>
      <w:lang w:eastAsia="en-US"/>
    </w:rPr>
  </w:style>
  <w:style w:type="character" w:styleId="855" w:customStyle="1">
    <w:name w:val="Подпись Знак"/>
    <w:basedOn w:val="835"/>
    <w:link w:val="854"/>
    <w:uiPriority w:val="99"/>
    <w:pPr>
      <w:pBdr/>
      <w:spacing/>
      <w:ind/>
    </w:pPr>
    <w:rPr>
      <w:rFonts w:ascii="Arial" w:hAnsi="Arial"/>
      <w:b/>
      <w:sz w:val="24"/>
    </w:rPr>
  </w:style>
  <w:style w:type="paragraph" w:styleId="856">
    <w:name w:val="Subtitle"/>
    <w:basedOn w:val="825"/>
    <w:next w:val="825"/>
    <w:link w:val="857"/>
    <w:uiPriority w:val="11"/>
    <w:semiHidden/>
    <w:qFormat/>
    <w:pPr>
      <w:numPr>
        <w:ilvl w:val="1"/>
      </w:numPr>
      <w:pBdr/>
      <w:spacing/>
      <w:ind w:firstLine="454"/>
    </w:pPr>
    <w:rPr>
      <w:rFonts w:asciiTheme="majorHAnsi" w:hAnsiTheme="majorHAnsi" w:eastAsiaTheme="majorEastAsia" w:cstheme="majorBidi"/>
      <w:i/>
      <w:iCs/>
      <w:color w:val="4f81bd" w:themeColor="accent1"/>
      <w:spacing w:val="15"/>
      <w:lang w:eastAsia="en-US"/>
    </w:rPr>
  </w:style>
  <w:style w:type="character" w:styleId="857" w:customStyle="1">
    <w:name w:val="Подзаголовок Знак"/>
    <w:basedOn w:val="835"/>
    <w:link w:val="856"/>
    <w:uiPriority w:val="11"/>
    <w:semiHidden/>
    <w:pPr>
      <w:pBdr/>
      <w:spacing/>
      <w:ind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858">
    <w:name w:val="Strong"/>
    <w:basedOn w:val="835"/>
    <w:uiPriority w:val="22"/>
    <w:semiHidden/>
    <w:qFormat/>
    <w:pPr>
      <w:pBdr/>
      <w:spacing/>
      <w:ind/>
    </w:pPr>
    <w:rPr>
      <w:b/>
      <w:bCs/>
    </w:rPr>
  </w:style>
  <w:style w:type="character" w:styleId="859">
    <w:name w:val="Emphasis"/>
    <w:basedOn w:val="835"/>
    <w:uiPriority w:val="20"/>
    <w:semiHidden/>
    <w:qFormat/>
    <w:pPr>
      <w:pBdr/>
      <w:spacing/>
      <w:ind/>
    </w:pPr>
    <w:rPr>
      <w:i/>
      <w:iCs/>
    </w:rPr>
  </w:style>
  <w:style w:type="paragraph" w:styleId="860">
    <w:name w:val="List Paragraph"/>
    <w:basedOn w:val="825"/>
    <w:uiPriority w:val="34"/>
    <w:semiHidden/>
    <w:qFormat/>
    <w:pPr>
      <w:pBdr/>
      <w:spacing/>
      <w:ind w:left="720"/>
      <w:contextualSpacing w:val="true"/>
    </w:pPr>
    <w:rPr>
      <w:rFonts w:eastAsiaTheme="minorHAnsi" w:cstheme="minorBidi"/>
      <w:szCs w:val="22"/>
      <w:lang w:eastAsia="en-US"/>
    </w:rPr>
  </w:style>
  <w:style w:type="paragraph" w:styleId="861">
    <w:name w:val="Quote"/>
    <w:basedOn w:val="825"/>
    <w:next w:val="825"/>
    <w:link w:val="862"/>
    <w:uiPriority w:val="29"/>
    <w:semiHidden/>
    <w:qFormat/>
    <w:pPr>
      <w:pBdr/>
      <w:spacing/>
      <w:ind/>
    </w:pPr>
    <w:rPr>
      <w:rFonts w:eastAsiaTheme="minorHAnsi" w:cstheme="minorBidi"/>
      <w:i/>
      <w:iCs/>
      <w:color w:val="000000" w:themeColor="text1"/>
      <w:szCs w:val="22"/>
      <w:lang w:eastAsia="en-US"/>
    </w:rPr>
  </w:style>
  <w:style w:type="character" w:styleId="862" w:customStyle="1">
    <w:name w:val="Цитата 2 Знак"/>
    <w:basedOn w:val="835"/>
    <w:link w:val="861"/>
    <w:uiPriority w:val="29"/>
    <w:semiHidden/>
    <w:pPr>
      <w:pBdr/>
      <w:spacing/>
      <w:ind/>
    </w:pPr>
    <w:rPr>
      <w:rFonts w:ascii="Arial" w:hAnsi="Arial" w:eastAsiaTheme="minorEastAsia"/>
      <w:i/>
      <w:iCs/>
      <w:color w:val="000000" w:themeColor="text1"/>
      <w:sz w:val="24"/>
    </w:rPr>
  </w:style>
  <w:style w:type="paragraph" w:styleId="863">
    <w:name w:val="Intense Quote"/>
    <w:basedOn w:val="825"/>
    <w:next w:val="825"/>
    <w:link w:val="864"/>
    <w:uiPriority w:val="30"/>
    <w:semiHidden/>
    <w:qFormat/>
    <w:pPr>
      <w:pBdr>
        <w:bottom w:val="single" w:color="4f81bd" w:themeColor="accent1" w:sz="4" w:space="4"/>
      </w:pBdr>
      <w:spacing w:after="280" w:before="200"/>
      <w:ind w:right="936" w:left="936"/>
    </w:pPr>
    <w:rPr>
      <w:rFonts w:eastAsiaTheme="minorHAnsi" w:cstheme="minorBidi"/>
      <w:b/>
      <w:bCs/>
      <w:i/>
      <w:iCs/>
      <w:color w:val="4f81bd" w:themeColor="accent1"/>
      <w:szCs w:val="22"/>
      <w:lang w:eastAsia="en-US"/>
    </w:rPr>
  </w:style>
  <w:style w:type="character" w:styleId="864" w:customStyle="1">
    <w:name w:val="Выделенная цитата Знак"/>
    <w:basedOn w:val="835"/>
    <w:link w:val="863"/>
    <w:uiPriority w:val="30"/>
    <w:semiHidden/>
    <w:pPr>
      <w:pBdr/>
      <w:spacing/>
      <w:ind/>
    </w:pPr>
    <w:rPr>
      <w:rFonts w:ascii="Arial" w:hAnsi="Arial" w:eastAsiaTheme="minorEastAsia"/>
      <w:b/>
      <w:bCs/>
      <w:i/>
      <w:iCs/>
      <w:color w:val="4f81bd" w:themeColor="accent1"/>
      <w:sz w:val="24"/>
    </w:rPr>
  </w:style>
  <w:style w:type="character" w:styleId="865">
    <w:name w:val="Subtle Emphasis"/>
    <w:basedOn w:val="835"/>
    <w:uiPriority w:val="19"/>
    <w:semiHidden/>
    <w:qFormat/>
    <w:pPr>
      <w:pBdr/>
      <w:spacing/>
      <w:ind/>
    </w:pPr>
    <w:rPr>
      <w:i/>
      <w:iCs/>
      <w:color w:val="808080" w:themeColor="text1" w:themeTint="7F"/>
    </w:rPr>
  </w:style>
  <w:style w:type="character" w:styleId="866">
    <w:name w:val="Intense Emphasis"/>
    <w:basedOn w:val="835"/>
    <w:uiPriority w:val="21"/>
    <w:semiHidden/>
    <w:qFormat/>
    <w:pPr>
      <w:pBdr/>
      <w:spacing/>
      <w:ind/>
    </w:pPr>
    <w:rPr>
      <w:b/>
      <w:bCs/>
      <w:i/>
      <w:iCs/>
      <w:color w:val="4f81bd" w:themeColor="accent1"/>
    </w:rPr>
  </w:style>
  <w:style w:type="character" w:styleId="867">
    <w:name w:val="Subtle Reference"/>
    <w:basedOn w:val="835"/>
    <w:uiPriority w:val="31"/>
    <w:semiHidden/>
    <w:qFormat/>
    <w:pPr>
      <w:pBdr/>
      <w:spacing/>
      <w:ind/>
    </w:pPr>
    <w:rPr>
      <w:smallCaps/>
      <w:color w:val="c0504d" w:themeColor="accent2"/>
      <w:u w:val="single"/>
    </w:rPr>
  </w:style>
  <w:style w:type="character" w:styleId="868">
    <w:name w:val="Intense Reference"/>
    <w:basedOn w:val="835"/>
    <w:uiPriority w:val="32"/>
    <w:semiHidden/>
    <w:qFormat/>
    <w:pPr>
      <w:pBdr/>
      <w:spacing/>
      <w:ind/>
    </w:pPr>
    <w:rPr>
      <w:b/>
      <w:bCs/>
      <w:smallCaps/>
      <w:color w:val="c0504d" w:themeColor="accent2"/>
      <w:spacing w:val="5"/>
      <w:u w:val="single"/>
    </w:rPr>
  </w:style>
  <w:style w:type="character" w:styleId="869">
    <w:name w:val="Book Title"/>
    <w:basedOn w:val="835"/>
    <w:uiPriority w:val="33"/>
    <w:semiHidden/>
    <w:qFormat/>
    <w:pPr>
      <w:pBdr/>
      <w:spacing/>
      <w:ind/>
    </w:pPr>
    <w:rPr>
      <w:b/>
      <w:bCs/>
      <w:smallCaps/>
      <w:spacing w:val="5"/>
    </w:rPr>
  </w:style>
  <w:style w:type="paragraph" w:styleId="870">
    <w:name w:val="TOC Heading"/>
    <w:basedOn w:val="826"/>
    <w:next w:val="825"/>
    <w:uiPriority w:val="39"/>
    <w:semiHidden/>
    <w:qFormat/>
    <w:pPr>
      <w:pBdr/>
      <w:spacing/>
      <w:ind/>
      <w:outlineLvl w:val="9"/>
    </w:pPr>
  </w:style>
  <w:style w:type="paragraph" w:styleId="871">
    <w:name w:val="Normal Indent"/>
    <w:basedOn w:val="825"/>
    <w:uiPriority w:val="99"/>
    <w:semiHidden/>
    <w:pPr>
      <w:pBdr/>
      <w:spacing/>
      <w:ind w:left="708"/>
    </w:pPr>
    <w:rPr>
      <w:rFonts w:eastAsiaTheme="minorHAnsi" w:cstheme="minorBidi"/>
      <w:szCs w:val="22"/>
      <w:lang w:eastAsia="en-US"/>
    </w:rPr>
  </w:style>
  <w:style w:type="paragraph" w:styleId="872">
    <w:name w:val="annotation text"/>
    <w:basedOn w:val="825"/>
    <w:link w:val="873"/>
    <w:uiPriority w:val="99"/>
    <w:pPr>
      <w:pBdr/>
      <w:spacing w:after="240" w:before="120"/>
      <w:ind w:firstLine="0"/>
      <w:jc w:val="left"/>
    </w:pPr>
    <w:rPr>
      <w:rFonts w:eastAsiaTheme="minorHAnsi" w:cstheme="minorBidi"/>
      <w:i/>
      <w:szCs w:val="20"/>
      <w:lang w:eastAsia="en-US"/>
    </w:rPr>
  </w:style>
  <w:style w:type="character" w:styleId="873" w:customStyle="1">
    <w:name w:val="Текст примечания Знак"/>
    <w:basedOn w:val="835"/>
    <w:link w:val="872"/>
    <w:uiPriority w:val="99"/>
    <w:pPr>
      <w:pBdr/>
      <w:spacing/>
      <w:ind/>
    </w:pPr>
    <w:rPr>
      <w:rFonts w:ascii="Arial" w:hAnsi="Arial"/>
      <w:i/>
      <w:sz w:val="24"/>
      <w:szCs w:val="20"/>
    </w:rPr>
  </w:style>
  <w:style w:type="paragraph" w:styleId="874" w:customStyle="1">
    <w:name w:val="Редакции"/>
    <w:basedOn w:val="825"/>
    <w:pPr>
      <w:pBdr/>
      <w:spacing w:after="240"/>
      <w:ind w:firstLine="0"/>
      <w:jc w:val="center"/>
    </w:pPr>
    <w:rPr>
      <w:i/>
      <w:iCs/>
    </w:rPr>
  </w:style>
  <w:style w:type="paragraph" w:styleId="875" w:customStyle="1">
    <w:name w:val="Таблица"/>
    <w:basedOn w:val="825"/>
    <w:qFormat/>
    <w:pPr>
      <w:pBdr/>
      <w:spacing/>
      <w:ind w:firstLine="0"/>
    </w:pPr>
    <w:rPr>
      <w:rFonts w:eastAsiaTheme="minorHAnsi" w:cstheme="minorBidi"/>
      <w:szCs w:val="22"/>
      <w:lang w:eastAsia="en-US"/>
    </w:rPr>
  </w:style>
  <w:style w:type="character" w:styleId="876">
    <w:name w:val="Hyperlink"/>
    <w:uiPriority w:val="99"/>
    <w:pPr>
      <w:pBdr/>
      <w:spacing/>
      <w:ind/>
    </w:pPr>
    <w:rPr>
      <w:color w:val="0000ff" w:themeColor="hyperlink"/>
      <w:u w:val="single"/>
    </w:rPr>
  </w:style>
  <w:style w:type="paragraph" w:styleId="877">
    <w:name w:val="Balloon Text"/>
    <w:basedOn w:val="825"/>
    <w:link w:val="878"/>
    <w:uiPriority w:val="99"/>
    <w:semiHidden/>
    <w:pPr>
      <w:pBdr/>
      <w:spacing w:after="0"/>
      <w:ind/>
    </w:pPr>
    <w:rPr>
      <w:rFonts w:ascii="Tahoma" w:hAnsi="Tahoma" w:cs="Tahoma"/>
      <w:sz w:val="16"/>
      <w:szCs w:val="16"/>
    </w:rPr>
  </w:style>
  <w:style w:type="character" w:styleId="878" w:customStyle="1">
    <w:name w:val="Текст выноски Знак"/>
    <w:basedOn w:val="835"/>
    <w:link w:val="877"/>
    <w:uiPriority w:val="99"/>
    <w:semiHidden/>
    <w:pPr>
      <w:pBdr/>
      <w:spacing/>
      <w:ind/>
    </w:pPr>
    <w:rPr>
      <w:rFonts w:ascii="Tahoma" w:hAnsi="Tahoma" w:cs="Tahoma" w:eastAsiaTheme="minorEastAsia"/>
      <w:sz w:val="16"/>
      <w:szCs w:val="16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png"/><Relationship Id="rId9" Type="http://schemas.openxmlformats.org/officeDocument/2006/relationships/hyperlink" Target="https://cbd.minjust.gov.kg/112424/edition/37202/ru#st_5" TargetMode="External"/><Relationship Id="rId10" Type="http://schemas.openxmlformats.org/officeDocument/2006/relationships/hyperlink" Target="https://cbd.minjust.gov.kg/112424/edition/37202/ru#st_9" TargetMode="External"/><Relationship Id="rId11" Type="http://schemas.openxmlformats.org/officeDocument/2006/relationships/hyperlink" Target="https://cbd.minjust.gov.kg/112424/edition/37202/ru#st_64" TargetMode="External"/><Relationship Id="rId12" Type="http://schemas.openxmlformats.org/officeDocument/2006/relationships/hyperlink" Target="https://cbd.minjust.gov.kg/46-3625/edition/1086384/ru" TargetMode="External"/><Relationship Id="rId13" Type="http://schemas.openxmlformats.org/officeDocument/2006/relationships/hyperlink" Target="toktom://db/56264" TargetMode="External"/><Relationship Id="rId14" Type="http://schemas.openxmlformats.org/officeDocument/2006/relationships/hyperlink" Target="toktom://db/143418" TargetMode="External"/><Relationship Id="rId15" Type="http://schemas.openxmlformats.org/officeDocument/2006/relationships/hyperlink" Target="toktom://db/143417" TargetMode="External"/><Relationship Id="rId16" Type="http://schemas.openxmlformats.org/officeDocument/2006/relationships/hyperlink" Target="toktom://db/143464" TargetMode="External"/><Relationship Id="rId17" Type="http://schemas.openxmlformats.org/officeDocument/2006/relationships/hyperlink" Target="toktom://db/143463" TargetMode="External"/><Relationship Id="rId18" Type="http://schemas.openxmlformats.org/officeDocument/2006/relationships/hyperlink" Target="toktom://db/143963" TargetMode="External"/><Relationship Id="rId19" Type="http://schemas.openxmlformats.org/officeDocument/2006/relationships/hyperlink" Target="toktom://db/143962" TargetMode="External"/><Relationship Id="rId20" Type="http://schemas.openxmlformats.org/officeDocument/2006/relationships/hyperlink" Target="toktom://db/165694" TargetMode="External"/><Relationship Id="rId21" Type="http://schemas.openxmlformats.org/officeDocument/2006/relationships/hyperlink" Target="toktom://db/165693" TargetMode="External"/><Relationship Id="rId22" Type="http://schemas.openxmlformats.org/officeDocument/2006/relationships/hyperlink" Target="https://cbd.minjust.gov.kg/31199/edition/1086370/ru" TargetMode="External"/><Relationship Id="rId23" Type="http://schemas.openxmlformats.org/officeDocument/2006/relationships/hyperlink" Target="https://cbd.minjust.gov.kg/46-3625/edition/1086384/ru" TargetMode="External"/><Relationship Id="rId24" Type="http://schemas.openxmlformats.org/officeDocument/2006/relationships/hyperlink" Target="https://cbd.minjust.gov.kg/46-3625/edition/1086384/ru" TargetMode="External"/><Relationship Id="rId25" Type="http://schemas.openxmlformats.org/officeDocument/2006/relationships/hyperlink" Target="https://cbd.minjust.gov.kg/31199/edition/1086370/ru" TargetMode="External"/><Relationship Id="rId26" Type="http://schemas.openxmlformats.org/officeDocument/2006/relationships/hyperlink" Target="https://cbd.minjust.gov.kg/8-784/edition/1081755/ru" TargetMode="External"/><Relationship Id="rId27" Type="http://schemas.openxmlformats.org/officeDocument/2006/relationships/hyperlink" Target="https://cbd.minjust.gov.kg/800764/edition/1088582/ru" TargetMode="External"/><Relationship Id="rId28" Type="http://schemas.openxmlformats.org/officeDocument/2006/relationships/hyperlink" Target="https://cbd.minjust.gov.kg/800764/edition/1088582/ru" TargetMode="External"/><Relationship Id="rId29" Type="http://schemas.openxmlformats.org/officeDocument/2006/relationships/hyperlink" Target="https://cbd.minjust.gov.kg/8-784/edition/1081755/ru" TargetMode="External"/><Relationship Id="rId30" Type="http://schemas.openxmlformats.org/officeDocument/2006/relationships/hyperlink" Target="https://cbd.minjust.gov.kg/4-1029/edition/35838/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ONLYOFFICE/8.1.1.26</Application>
  <Company>Krokoz™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</dc:creator>
  <cp:keywords/>
  <dc:description/>
  <cp:lastModifiedBy>Аноним</cp:lastModifiedBy>
  <cp:revision>16</cp:revision>
  <dcterms:created xsi:type="dcterms:W3CDTF">2024-01-18T05:24:00Z</dcterms:created>
  <dcterms:modified xsi:type="dcterms:W3CDTF">2025-10-29T09:28:39Z</dcterms:modified>
</cp:coreProperties>
</file>