
<file path=[Content_Types].xml><?xml version="1.0" encoding="utf-8"?>
<Types xmlns="http://schemas.openxmlformats.org/package/2006/content-types">
  <Default Extension="wmf" ContentType="image/x-wmf"/>
  <Default Extension="gif" ContentType="image/gi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360" w:before="0"/>
        <w:ind w:right="0" w:firstLine="0" w:left="0"/>
        <w:jc w:val="center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672794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 ПРАВЛЕНИЯ НАЦИОНАЛЬНОГО БАНКА 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от 17 сентября 2025 года № 2025-П-19/47-3-(НПА)</w:t>
      </w:r>
      <w:r/>
    </w:p>
    <w:p>
      <w:pPr>
        <w:pBdr/>
        <w:spacing w:after="360"/>
        <w:ind w:firstLine="0"/>
        <w:jc w:val="left"/>
        <w:rPr/>
      </w:pP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О внесении изменений в постановление </w: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Правления Национального банка Кыргызской Республики</w: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«Об утверждении Инструкции «О порядке проведения платежей и расчетов </w: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 Гроссовой системе расчетов в режиме реального времени в Кыргызской Республике»</w: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от 27 мая 2009 года № 25/11</w: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1262743/ru#st_5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1262743/ru#st_9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1262743/ru#st_64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 Внести в </w:t>
      </w:r>
      <w:hyperlink r:id="rId12" w:tooltip="https://cbd.minjust.gov.kg/8-259/edition/1055876/ru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r:id="rId13" w:tooltip="https://cbd.minjust.gov.kg/301175/edition/1055886/ru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«О порядке проведения платежей и расчетов в Гроссовой системе расчетов в режиме реального времени в Кыргызской Республике» от 27 мая 2009 года № 25/11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изменения (прилагаются).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 Юридическому управлению: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cо дня получения соответствующих документов в течение 3 (трех) рабочих днейопубликовать настоящее постановление на официальном интернет-сайте Национального банка Кыргызской Республики;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 Настоящее постановление вступает в силу по истечении 15 (пятнадцати) дней со дня его официального опубликования.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4. 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Управлению банковских расчетов довести настоящее постановление до сведения коммерческих банков, Межгосударственного банка, Евразийского банка развития, Центрального казначейства Министерства финансов Кыргызской Республики, Социального фонда Кыргызской Респ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ублики при Кабинете Министров Кыргызской Республики, Государственного накопительного пенсионного фонда при Социальном фонде Кыргызской Республики при Кабинете Министров Кыргызской Республики, Агентства по защите депозитов Кыргызской Республики, ЗАО «Центра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льный депозитарий» и соответствующих структурных подразделений Национального банка Кыргызской Республики.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 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банковских расчетов. 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96"/>
        <w:tblW w:w="0" w:type="auto"/>
        <w:tblBorders/>
        <w:tblLook w:val="04A0" w:firstRow="1" w:lastRow="0" w:firstColumn="1" w:lastColumn="0" w:noHBand="0" w:noVBand="1"/>
      </w:tblPr>
      <w:tblGrid>
        <w:gridCol w:w="4857"/>
        <w:gridCol w:w="4857"/>
        <w:gridCol w:w="485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/>
              <w:ind w:firstLine="0"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/>
              <w:ind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/>
              <w:ind/>
              <w:jc w:val="right"/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 Тургунбаев 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leader="none" w:pos="6803"/>
        </w:tabs>
        <w:spacing w:after="0" w:line="360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leader="none" w:pos="6803"/>
        </w:tabs>
        <w:spacing w:after="0" w:line="360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leader="none" w:pos="6803"/>
        </w:tabs>
        <w:spacing w:after="0" w:line="360" w:lineRule="auto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5669"/>
        <w:jc w:val="right"/>
        <w:rPr>
          <w:rFonts w:ascii="Arial" w:hAnsi="Arial" w:cs="Arial"/>
          <w:b w:val="0"/>
          <w:bCs/>
          <w:i/>
          <w:sz w:val="24"/>
          <w:szCs w:val="24"/>
        </w:rPr>
      </w:pPr>
      <w:r>
        <w:rPr>
          <w:rFonts w:ascii="Arial" w:hAnsi="Arial" w:eastAsia="Arial" w:cs="Arial"/>
          <w:b w:val="0"/>
          <w:bCs w:val="0"/>
          <w:i/>
          <w:iCs/>
          <w:color w:val="000000"/>
          <w:sz w:val="24"/>
          <w:szCs w:val="24"/>
        </w:rPr>
      </w:r>
      <w:bookmarkStart w:id="1" w:name="pr"/>
      <w:r>
        <w:rPr>
          <w:rFonts w:ascii="Arial" w:hAnsi="Arial" w:eastAsia="Arial" w:cs="Arial"/>
          <w:b w:val="0"/>
          <w:bCs w:val="0"/>
          <w:i/>
          <w:iCs/>
          <w:color w:val="000000"/>
          <w:sz w:val="24"/>
          <w:szCs w:val="24"/>
        </w:rPr>
        <w:t xml:space="preserve">Приложение</w:t>
      </w:r>
      <w:r>
        <w:rPr>
          <w:rFonts w:ascii="Arial" w:hAnsi="Arial" w:eastAsia="Arial" w:cs="Arial"/>
          <w:b w:val="0"/>
          <w:bCs w:val="0"/>
          <w:i/>
          <w:iCs/>
          <w:sz w:val="24"/>
          <w:szCs w:val="24"/>
        </w:rPr>
      </w:r>
      <w:bookmarkEnd w:id="1"/>
      <w:r>
        <w:rPr>
          <w:rFonts w:ascii="Arial" w:hAnsi="Arial" w:eastAsia="Arial" w:cs="Arial"/>
          <w:b w:val="0"/>
          <w:bCs w:val="0"/>
          <w:i/>
          <w:iCs/>
          <w:sz w:val="24"/>
          <w:szCs w:val="24"/>
        </w:rPr>
      </w:r>
      <w:r>
        <w:rPr>
          <w:rFonts w:ascii="Arial" w:hAnsi="Arial" w:cs="Arial"/>
          <w:b w:val="0"/>
          <w:bCs/>
          <w:i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5669"/>
        <w:jc w:val="right"/>
        <w:rPr>
          <w:rFonts w:ascii="Arial" w:hAnsi="Arial" w:cs="Arial"/>
          <w:b w:val="0"/>
          <w:bCs/>
          <w:i/>
          <w:sz w:val="24"/>
          <w:szCs w:val="24"/>
        </w:rPr>
      </w:pPr>
      <w:r>
        <w:rPr>
          <w:rFonts w:ascii="Arial" w:hAnsi="Arial" w:eastAsia="Arial" w:cs="Arial"/>
          <w:b w:val="0"/>
          <w:bCs w:val="0"/>
          <w:i/>
          <w:iCs/>
          <w:color w:val="000000"/>
          <w:sz w:val="24"/>
          <w:szCs w:val="24"/>
        </w:rPr>
        <w:t xml:space="preserve">к постановлению Правления </w:t>
      </w:r>
      <w:r>
        <w:rPr>
          <w:rFonts w:ascii="Arial" w:hAnsi="Arial" w:eastAsia="Arial" w:cs="Arial"/>
          <w:b w:val="0"/>
          <w:bCs w:val="0"/>
          <w:i/>
          <w:iCs/>
          <w:sz w:val="24"/>
          <w:szCs w:val="24"/>
        </w:rPr>
      </w:r>
      <w:r>
        <w:rPr>
          <w:rFonts w:ascii="Arial" w:hAnsi="Arial" w:cs="Arial"/>
          <w:b w:val="0"/>
          <w:bCs/>
          <w:i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5669"/>
        <w:jc w:val="right"/>
        <w:rPr>
          <w:rFonts w:ascii="Arial" w:hAnsi="Arial" w:cs="Arial"/>
          <w:b w:val="0"/>
          <w:bCs/>
          <w:i/>
          <w:sz w:val="24"/>
          <w:szCs w:val="24"/>
        </w:rPr>
      </w:pPr>
      <w:r>
        <w:rPr>
          <w:rFonts w:ascii="Arial" w:hAnsi="Arial" w:eastAsia="Arial" w:cs="Arial"/>
          <w:b w:val="0"/>
          <w:bCs w:val="0"/>
          <w:i/>
          <w:iCs/>
          <w:color w:val="000000"/>
          <w:sz w:val="24"/>
          <w:szCs w:val="24"/>
        </w:rPr>
        <w:t xml:space="preserve">Национального банка </w:t>
      </w:r>
      <w:r>
        <w:rPr>
          <w:rFonts w:ascii="Arial" w:hAnsi="Arial" w:eastAsia="Arial" w:cs="Arial"/>
          <w:b w:val="0"/>
          <w:bCs w:val="0"/>
          <w:i/>
          <w:iCs/>
          <w:sz w:val="24"/>
          <w:szCs w:val="24"/>
        </w:rPr>
      </w:r>
      <w:r>
        <w:rPr>
          <w:rFonts w:ascii="Arial" w:hAnsi="Arial" w:cs="Arial"/>
          <w:b w:val="0"/>
          <w:bCs/>
          <w:i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5669"/>
        <w:jc w:val="right"/>
        <w:rPr>
          <w:rFonts w:ascii="Arial" w:hAnsi="Arial" w:cs="Arial"/>
          <w:b w:val="0"/>
          <w:bCs/>
          <w:i/>
          <w:sz w:val="24"/>
          <w:szCs w:val="24"/>
        </w:rPr>
      </w:pPr>
      <w:r>
        <w:rPr>
          <w:rFonts w:ascii="Arial" w:hAnsi="Arial" w:eastAsia="Arial" w:cs="Arial"/>
          <w:b w:val="0"/>
          <w:bCs w:val="0"/>
          <w:i/>
          <w:iCs/>
          <w:color w:val="000000"/>
          <w:sz w:val="24"/>
          <w:szCs w:val="24"/>
        </w:rPr>
        <w:t xml:space="preserve">Кыргызской Республики </w:t>
      </w:r>
      <w:r>
        <w:rPr>
          <w:rFonts w:ascii="Arial" w:hAnsi="Arial" w:eastAsia="Arial" w:cs="Arial"/>
          <w:b w:val="0"/>
          <w:bCs w:val="0"/>
          <w:i/>
          <w:iCs/>
          <w:sz w:val="24"/>
          <w:szCs w:val="24"/>
        </w:rPr>
      </w:r>
      <w:r>
        <w:rPr>
          <w:rFonts w:ascii="Arial" w:hAnsi="Arial" w:cs="Arial"/>
          <w:b w:val="0"/>
          <w:bCs/>
          <w:i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8" w:left="6236"/>
        <w:jc w:val="right"/>
        <w:rPr>
          <w:rFonts w:ascii="Arial" w:hAnsi="Arial" w:cs="Arial"/>
          <w:b w:val="0"/>
          <w:bCs/>
          <w:i/>
          <w:sz w:val="24"/>
          <w:szCs w:val="24"/>
        </w:rPr>
      </w:pPr>
      <w:r>
        <w:rPr>
          <w:rFonts w:ascii="Arial" w:hAnsi="Arial" w:eastAsia="Arial" w:cs="Arial"/>
          <w:b w:val="0"/>
          <w:bCs w:val="0"/>
          <w:i/>
          <w:iCs/>
          <w:color w:val="000000"/>
          <w:sz w:val="24"/>
          <w:szCs w:val="24"/>
        </w:rPr>
        <w:t xml:space="preserve">от 17 сентября 2025 года</w:t>
      </w:r>
      <w:r>
        <w:rPr>
          <w:rFonts w:ascii="Arial" w:hAnsi="Arial" w:eastAsia="Arial" w:cs="Arial"/>
          <w:b w:val="0"/>
          <w:bCs w:val="0"/>
          <w:i/>
          <w:iCs/>
          <w:sz w:val="24"/>
          <w:szCs w:val="24"/>
        </w:rPr>
      </w:r>
      <w:r>
        <w:rPr>
          <w:rFonts w:ascii="Arial" w:hAnsi="Arial" w:cs="Arial"/>
          <w:b w:val="0"/>
          <w:bCs/>
          <w:i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8" w:left="6236"/>
        <w:jc w:val="right"/>
        <w:rPr>
          <w:rFonts w:ascii="Arial" w:hAnsi="Arial" w:cs="Arial"/>
          <w:b w:val="0"/>
          <w:bCs/>
          <w:i/>
          <w:sz w:val="24"/>
          <w:szCs w:val="24"/>
        </w:rPr>
      </w:pPr>
      <w:r>
        <w:rPr>
          <w:rFonts w:ascii="Arial" w:hAnsi="Arial" w:eastAsia="Arial" w:cs="Arial"/>
          <w:b w:val="0"/>
          <w:bCs w:val="0"/>
          <w:i/>
          <w:iCs/>
          <w:color w:val="000000"/>
          <w:sz w:val="24"/>
          <w:szCs w:val="24"/>
        </w:rPr>
        <w:t xml:space="preserve">№ 2025-П-19/47-3-(НПА)</w:t>
      </w:r>
      <w:r>
        <w:rPr>
          <w:rFonts w:ascii="Arial" w:hAnsi="Arial" w:eastAsia="Arial" w:cs="Arial"/>
          <w:b w:val="0"/>
          <w:bCs w:val="0"/>
          <w:i/>
          <w:iCs/>
          <w:sz w:val="24"/>
          <w:szCs w:val="24"/>
        </w:rPr>
      </w:r>
      <w:r>
        <w:rPr>
          <w:rFonts w:ascii="Arial" w:hAnsi="Arial" w:cs="Arial"/>
          <w:b w:val="0"/>
          <w:bCs/>
          <w:i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75"/>
        <w:ind w:right="0" w:firstLine="0" w:left="0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leader="none" w:pos="5669"/>
        </w:tabs>
        <w:spacing w:after="0"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Изменения</w:t>
      </w:r>
      <w:r>
        <w:rPr>
          <w:rFonts w:ascii="Arial" w:hAnsi="Arial" w:eastAsia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 постановление Правления Национального банка Кыргызской Республики</w:t>
      </w:r>
      <w:r>
        <w:rPr>
          <w:rFonts w:ascii="Arial" w:hAnsi="Arial" w:eastAsia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«Об утверждении Инструкции «О порядке проведения платежей и расчетов</w:t>
      </w:r>
      <w:r>
        <w:rPr>
          <w:rFonts w:ascii="Arial" w:hAnsi="Arial" w:eastAsia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 Гроссовой системе расчетов в режиме реального времени в Кыргызской Республике»</w:t>
      </w:r>
      <w:r>
        <w:rPr>
          <w:rFonts w:ascii="Arial" w:hAnsi="Arial" w:eastAsia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0"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от 27 мая 2009 года № 25/11</w:t>
      </w:r>
      <w:r>
        <w:rPr>
          <w:rFonts w:ascii="Arial" w:hAnsi="Arial" w:eastAsia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Внести в </w:t>
      </w:r>
      <w:hyperlink r:id="rId14" w:tooltip="https://cbd.minjust.gov.kg/8-259/edition/1055876/ru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«Об утверждении Инструкции «О порядке проведения платежей и расчетов в Гроссовой системе расчетов в режиме реального времени в Кыргызской Республике» от 27 мая 2009 года № 25/11 сле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дующие изменения: 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5" w:tooltip="https://cbd.minjust.gov.kg/301175/edition/1055886/ru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порядке проведения платежей и расчетов в Гроссовой системе расчетов в режиме реального времени в Кыргызской Республике, утвержденной вышеуказанным постановлением: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</w:t>
      </w:r>
      <w:hyperlink r:id="rId16" w:tooltip="https://cbd.minjust.gov.kg/301175/edition/1055886/ru#st_1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 пункт 1.7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567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«1.7. Национальный банк является оператором ГСРРВ и расчетным банком по проведению расчетов в системе по счетам участников, открытым в Национальном банке.»;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подпункт 3.1.1 </w:t>
      </w:r>
      <w:hyperlink r:id="rId17" w:tooltip="https://cbd.minjust.gov.kg/301175/edition/1055886/ru#st_3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пункта 3.1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.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/>
        <w:ind w:right="0" w:firstLine="705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«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3.1.1. Обработка ЭПД производится в соответствии с регламентом работы ГСРРВ, который разделяется на следующие периоды: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</w:p>
    <w:tbl>
      <w:tblPr>
        <w:tblStyle w:val="69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7085"/>
        <w:gridCol w:w="241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right="0" w:firstLine="0"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Наименование периода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Продолжительность периода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Старт дня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Открыто для бизнеса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8:30 – 8:40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8:40 – 9:00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Окончательный расчет чистых позиций участников по смежным системам, включая системы расчетов платежными картами </w:t>
            </w:r>
            <w:r>
              <w:rPr>
                <w:rStyle w:val="824"/>
                <w:rFonts w:ascii="Arial" w:hAnsi="Arial" w:eastAsia="Arial" w:cs="Arial"/>
                <w:sz w:val="24"/>
                <w:szCs w:val="24"/>
              </w:rPr>
              <w:footnoteReference w:id="2"/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9:00 – 17:00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Прием и обработка в ГСРРВ ЭПД и сообщений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9:00 – 17:20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Передача участниками ГСРРВ резерва денежных средств на дебетовую чистую позицию в СПК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8:45 -13:30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Формирование резерва на дебетовую чистую позицию и его передача в СПК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13:30 – 13:50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Окончательный расчет чистых позиций участников по итогам клиринговой сессии СПК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13:50 – 14:20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Первоначальное отключение (расчетное окно)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16:30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Окончательное отключение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17:00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142" w:firstLine="0" w:left="14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Завершение расчетов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17:20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8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Руководствуясь </w:t>
      </w:r>
      <w:hyperlink r:id="rId18" w:tooltip="https://cbd.minjust.gov.kg/3-45/edition/25298/ru#st_55" w:history="1">
        <w:r>
          <w:rPr>
            <w:rStyle w:val="889"/>
            <w:rFonts w:ascii="Arial" w:hAnsi="Arial" w:eastAsia="Arial" w:cs="Arial"/>
            <w:sz w:val="24"/>
            <w:szCs w:val="24"/>
            <w:highlight w:val="white"/>
          </w:rPr>
          <w:t xml:space="preserve">статьей 55</w:t>
        </w:r>
      </w:hyperlink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 Трудового кодекса Кыргызской Республики относительно продолжительности рабочего дня, непосредственно предшествующего нерабочему праздничному дню,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а также рабочего праздничного дня регламент работы ГСРРВ сокращается на один час и устанавливается следующее время начала периодов регламента ГСРРВ: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8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 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tbl>
      <w:tblPr>
        <w:tblStyle w:val="69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6907"/>
        <w:gridCol w:w="269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/>
              <w:ind w:right="0" w:firstLine="0"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Наименование периода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559"/>
              </w:tabs>
              <w:spacing w:after="0" w:before="0"/>
              <w:ind w:right="142" w:firstLine="141"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Продолжительность периода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0"/>
              <w:ind w:right="0" w:hanging="142" w:left="2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Первоначальное отключение (расчетное окно)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0"/>
              <w:ind w:right="0" w:firstLine="0" w:left="42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15:30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0"/>
              <w:ind w:right="0" w:hanging="142" w:left="2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Окончательное отключение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0"/>
              <w:ind w:right="0" w:firstLine="0" w:left="42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16:00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0"/>
              <w:ind w:right="0" w:hanging="142" w:left="2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Завершение расчетов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/>
              <w:ind w:right="0" w:firstLine="0"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16:20.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5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 xml:space="preserve">»;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подпункт 3.6.1. </w:t>
      </w:r>
      <w:hyperlink r:id="rId19" w:tooltip="https://cbd.minjust.gov.kg/301175/edition/1055886/ru#st_3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пункта 3.6.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«3.6.1. Резерв денежных средств на дебетовую чистую позицию в смежных системах устанавливается ежедневно участником путем резервирования средств на своем счете, открытом в Национальном банке, части средств, необходимых для проведения окончательного расчета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в ГСРРВ, либо операторами смежных систем путем направления в ГСРРВ файла установленного формата для предварительного резервирования достаточного объема денежных средств на корреспондентских счетах участников. Размер резервов должен быть достаточным для га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рантированного проведения окончательного расчета файлов чистых позиций»;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</w:t>
      </w:r>
      <w:hyperlink r:id="rId20" w:tooltip="https://cbd.minjust.gov.kg/301175/edition/1055886/ru#st_3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 в пункте 3.8.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слова «систем розничных платежей» заменить словами «смежных систем»;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подпункт 3.8.1. </w:t>
      </w:r>
      <w:hyperlink r:id="rId21" w:tooltip="https://cbd.minjust.gov.kg/301175/edition/1055886/ru#st_3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пункта 3.8.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«3.8.1. После получения файла чистых позиций из смежных систем в ГСРРВ проводится проверка подлинности ЭП файла, целостности ЭПД и соответствия ЭПД установленному формату. В случае обнаружения ошибок в полученном файле в ГСРРВ формируется электронный плате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ж утвержденного формата с указанием обнаруженных ошибок. Данное сообщение подписывается ЭП и отправляется в адрес смежной системы по имеющимся каналам связи с указанием ошибки.»;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 в подпункте 3.8.2. </w:t>
      </w:r>
      <w:hyperlink r:id="rId22" w:tooltip="https://cbd.minjust.gov.kg/301175/edition/1055886/ru#st_3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пункта 3.8.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аббревиатуру «СПК» заменить словами «смежную систему»;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3.8.3. </w:t>
      </w:r>
      <w:hyperlink r:id="rId23" w:tooltip="https://cbd.minjust.gov.kg/301175/edition/1055886/ru#st_3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пункта 3.8.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«3.8.3. В случае если дебетовая чистая позиция по результатам расчетов в смежной системе хотя бы у одного участника не может быть оплачена в ГСРРВ из-за недостаточности средств, весь файл чистых позиций отвергается системой ГСРРВ. При этом формируется отве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тный файл соответствующего формата с указанием ненулевых недостающих сумм (позиций) для одного или нескольких участников и направляется по имеющимся каналам связи в смежную систему для урегулирования чистых позиций либо повторной отправки через определенны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й промежуток времени после обеспечения участником необходимой ликвидности на корреспондентском счете для обеспечения окончательных расчетов.»;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3.8.5. </w:t>
      </w:r>
      <w:hyperlink r:id="rId24" w:tooltip="https://cbd.minjust.gov.kg/301175/edition/1055886/ru#st_3" w:history="1">
        <w:r>
          <w:rPr>
            <w:rStyle w:val="889"/>
            <w:rFonts w:ascii="Arial" w:hAnsi="Arial" w:eastAsia="Arial" w:cs="Arial"/>
            <w:sz w:val="24"/>
            <w:szCs w:val="24"/>
          </w:rPr>
          <w:t xml:space="preserve">пункта 3.8.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изложить в следующей редакции: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60"/>
        <w:ind w:right="0" w:firstLine="709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«3.8.5. Окончательный расчет чистых позиций участников по смежным системам, включая системы расчетов платежными картами, проводится на основании подписанных соглашений и договоров, а также в соответствии с внутренними процедурами Национального банка.».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  <w:footnote w:id="2">
    <w:p>
      <w:pPr>
        <w:pStyle w:val="822"/>
        <w:pBdr/>
        <w:spacing/>
        <w:ind/>
        <w:rPr/>
      </w:pPr>
      <w:r>
        <w:rPr>
          <w:rStyle w:val="827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</w:rPr>
        <w:t xml:space="preserve"> Время отправки файлов чистых позиций оговаривается в двусторонних договорах</w:t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7">
    <w:name w:val="FollowedHyperlink"/>
    <w:basedOn w:val="8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78">
    <w:name w:val="Heading 1 Char"/>
    <w:basedOn w:val="848"/>
    <w:link w:val="83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79">
    <w:name w:val="Heading 2 Char"/>
    <w:basedOn w:val="848"/>
    <w:link w:val="84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80">
    <w:name w:val="Heading 3 Char"/>
    <w:basedOn w:val="848"/>
    <w:link w:val="84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81">
    <w:name w:val="Heading 4 Char"/>
    <w:basedOn w:val="848"/>
    <w:link w:val="84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5 Char"/>
    <w:basedOn w:val="848"/>
    <w:link w:val="84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6 Char"/>
    <w:basedOn w:val="848"/>
    <w:link w:val="84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84">
    <w:name w:val="Heading 7 Char"/>
    <w:basedOn w:val="848"/>
    <w:link w:val="84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8 Char"/>
    <w:basedOn w:val="848"/>
    <w:link w:val="84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9 Char"/>
    <w:basedOn w:val="848"/>
    <w:link w:val="84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Title Char"/>
    <w:basedOn w:val="848"/>
    <w:link w:val="852"/>
    <w:uiPriority w:val="10"/>
    <w:pPr>
      <w:pBdr/>
      <w:spacing/>
      <w:ind/>
    </w:pPr>
    <w:rPr>
      <w:sz w:val="48"/>
      <w:szCs w:val="48"/>
    </w:rPr>
  </w:style>
  <w:style w:type="character" w:styleId="688">
    <w:name w:val="Subtitle Char"/>
    <w:basedOn w:val="848"/>
    <w:link w:val="869"/>
    <w:uiPriority w:val="11"/>
    <w:pPr>
      <w:pBdr/>
      <w:spacing/>
      <w:ind/>
    </w:pPr>
    <w:rPr>
      <w:sz w:val="24"/>
      <w:szCs w:val="24"/>
    </w:rPr>
  </w:style>
  <w:style w:type="character" w:styleId="689">
    <w:name w:val="Quote Char"/>
    <w:link w:val="874"/>
    <w:uiPriority w:val="29"/>
    <w:pPr>
      <w:pBdr/>
      <w:spacing/>
      <w:ind/>
    </w:pPr>
    <w:rPr>
      <w:i/>
    </w:rPr>
  </w:style>
  <w:style w:type="character" w:styleId="690">
    <w:name w:val="Intense Quote Char"/>
    <w:link w:val="876"/>
    <w:uiPriority w:val="30"/>
    <w:pPr>
      <w:pBdr/>
      <w:spacing/>
      <w:ind/>
    </w:pPr>
    <w:rPr>
      <w:i/>
    </w:rPr>
  </w:style>
  <w:style w:type="paragraph" w:styleId="691">
    <w:name w:val="Header"/>
    <w:basedOn w:val="838"/>
    <w:link w:val="69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92">
    <w:name w:val="Header Char"/>
    <w:basedOn w:val="848"/>
    <w:link w:val="691"/>
    <w:uiPriority w:val="99"/>
    <w:pPr>
      <w:pBdr/>
      <w:spacing/>
      <w:ind/>
    </w:pPr>
  </w:style>
  <w:style w:type="paragraph" w:styleId="693">
    <w:name w:val="Footer"/>
    <w:basedOn w:val="838"/>
    <w:link w:val="695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94">
    <w:name w:val="Footer Char"/>
    <w:basedOn w:val="848"/>
    <w:link w:val="693"/>
    <w:uiPriority w:val="99"/>
    <w:pPr>
      <w:pBdr/>
      <w:spacing/>
      <w:ind/>
    </w:pPr>
  </w:style>
  <w:style w:type="character" w:styleId="695">
    <w:name w:val="Caption Char"/>
    <w:basedOn w:val="866"/>
    <w:link w:val="693"/>
    <w:uiPriority w:val="99"/>
    <w:pPr>
      <w:pBdr/>
      <w:spacing/>
      <w:ind/>
    </w:pPr>
  </w:style>
  <w:style w:type="table" w:styleId="696">
    <w:name w:val="Table Grid"/>
    <w:basedOn w:val="84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Table Grid Light"/>
    <w:basedOn w:val="84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Plain Table 1"/>
    <w:basedOn w:val="84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2"/>
    <w:basedOn w:val="84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1 Light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4"/>
    <w:basedOn w:val="8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 - Accent 1"/>
    <w:basedOn w:val="8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2"/>
    <w:basedOn w:val="8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3"/>
    <w:basedOn w:val="8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4"/>
    <w:basedOn w:val="8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5"/>
    <w:basedOn w:val="8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6"/>
    <w:basedOn w:val="8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5 Dark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6 Colorful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7 Colorful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1 Light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5 Dark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6 Colorful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7 Colorful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ned - Accent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 1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2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3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4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5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6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&amp; Lined - Accent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 1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2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3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4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5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6"/>
    <w:basedOn w:val="8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- Accent 1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2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3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4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5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6"/>
    <w:basedOn w:val="8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2">
    <w:name w:val="footnote text"/>
    <w:basedOn w:val="838"/>
    <w:link w:val="823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23">
    <w:name w:val="Footnote Text Char"/>
    <w:link w:val="822"/>
    <w:uiPriority w:val="99"/>
    <w:pPr>
      <w:pBdr/>
      <w:spacing/>
      <w:ind/>
    </w:pPr>
    <w:rPr>
      <w:sz w:val="18"/>
    </w:rPr>
  </w:style>
  <w:style w:type="character" w:styleId="824">
    <w:name w:val="footnote reference"/>
    <w:basedOn w:val="848"/>
    <w:uiPriority w:val="99"/>
    <w:unhideWhenUsed/>
    <w:pPr>
      <w:pBdr/>
      <w:spacing/>
      <w:ind/>
    </w:pPr>
    <w:rPr>
      <w:vertAlign w:val="superscript"/>
    </w:rPr>
  </w:style>
  <w:style w:type="paragraph" w:styleId="825">
    <w:name w:val="endnote text"/>
    <w:basedOn w:val="838"/>
    <w:link w:val="826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26">
    <w:name w:val="Endnote Text Char"/>
    <w:link w:val="825"/>
    <w:uiPriority w:val="99"/>
    <w:pPr>
      <w:pBdr/>
      <w:spacing/>
      <w:ind/>
    </w:pPr>
    <w:rPr>
      <w:sz w:val="20"/>
    </w:rPr>
  </w:style>
  <w:style w:type="character" w:styleId="827">
    <w:name w:val="endnote reference"/>
    <w:basedOn w:val="848"/>
    <w:uiPriority w:val="99"/>
    <w:semiHidden/>
    <w:unhideWhenUsed/>
    <w:pPr>
      <w:pBdr/>
      <w:spacing/>
      <w:ind/>
    </w:pPr>
    <w:rPr>
      <w:vertAlign w:val="superscript"/>
    </w:rPr>
  </w:style>
  <w:style w:type="paragraph" w:styleId="828">
    <w:name w:val="toc 1"/>
    <w:basedOn w:val="838"/>
    <w:next w:val="838"/>
    <w:uiPriority w:val="39"/>
    <w:unhideWhenUsed/>
    <w:pPr>
      <w:pBdr/>
      <w:spacing w:after="57"/>
      <w:ind w:right="0" w:firstLine="0" w:left="0"/>
    </w:pPr>
  </w:style>
  <w:style w:type="paragraph" w:styleId="829">
    <w:name w:val="toc 2"/>
    <w:basedOn w:val="838"/>
    <w:next w:val="838"/>
    <w:uiPriority w:val="39"/>
    <w:unhideWhenUsed/>
    <w:pPr>
      <w:pBdr/>
      <w:spacing w:after="57"/>
      <w:ind w:right="0" w:firstLine="0" w:left="283"/>
    </w:pPr>
  </w:style>
  <w:style w:type="paragraph" w:styleId="830">
    <w:name w:val="toc 3"/>
    <w:basedOn w:val="838"/>
    <w:next w:val="838"/>
    <w:uiPriority w:val="39"/>
    <w:unhideWhenUsed/>
    <w:pPr>
      <w:pBdr/>
      <w:spacing w:after="57"/>
      <w:ind w:right="0" w:firstLine="0" w:left="567"/>
    </w:pPr>
  </w:style>
  <w:style w:type="paragraph" w:styleId="831">
    <w:name w:val="toc 4"/>
    <w:basedOn w:val="838"/>
    <w:next w:val="838"/>
    <w:uiPriority w:val="39"/>
    <w:unhideWhenUsed/>
    <w:pPr>
      <w:pBdr/>
      <w:spacing w:after="57"/>
      <w:ind w:right="0" w:firstLine="0" w:left="850"/>
    </w:pPr>
  </w:style>
  <w:style w:type="paragraph" w:styleId="832">
    <w:name w:val="toc 5"/>
    <w:basedOn w:val="838"/>
    <w:next w:val="838"/>
    <w:uiPriority w:val="39"/>
    <w:unhideWhenUsed/>
    <w:pPr>
      <w:pBdr/>
      <w:spacing w:after="57"/>
      <w:ind w:right="0" w:firstLine="0" w:left="1134"/>
    </w:pPr>
  </w:style>
  <w:style w:type="paragraph" w:styleId="833">
    <w:name w:val="toc 6"/>
    <w:basedOn w:val="838"/>
    <w:next w:val="838"/>
    <w:uiPriority w:val="39"/>
    <w:unhideWhenUsed/>
    <w:pPr>
      <w:pBdr/>
      <w:spacing w:after="57"/>
      <w:ind w:right="0" w:firstLine="0" w:left="1417"/>
    </w:pPr>
  </w:style>
  <w:style w:type="paragraph" w:styleId="834">
    <w:name w:val="toc 7"/>
    <w:basedOn w:val="838"/>
    <w:next w:val="838"/>
    <w:uiPriority w:val="39"/>
    <w:unhideWhenUsed/>
    <w:pPr>
      <w:pBdr/>
      <w:spacing w:after="57"/>
      <w:ind w:right="0" w:firstLine="0" w:left="1701"/>
    </w:pPr>
  </w:style>
  <w:style w:type="paragraph" w:styleId="835">
    <w:name w:val="toc 8"/>
    <w:basedOn w:val="838"/>
    <w:next w:val="838"/>
    <w:uiPriority w:val="39"/>
    <w:unhideWhenUsed/>
    <w:pPr>
      <w:pBdr/>
      <w:spacing w:after="57"/>
      <w:ind w:right="0" w:firstLine="0" w:left="1984"/>
    </w:pPr>
  </w:style>
  <w:style w:type="paragraph" w:styleId="836">
    <w:name w:val="toc 9"/>
    <w:basedOn w:val="838"/>
    <w:next w:val="838"/>
    <w:uiPriority w:val="39"/>
    <w:unhideWhenUsed/>
    <w:pPr>
      <w:pBdr/>
      <w:spacing w:after="57"/>
      <w:ind w:right="0" w:firstLine="0" w:left="2268"/>
    </w:pPr>
  </w:style>
  <w:style w:type="paragraph" w:styleId="837">
    <w:name w:val="table of figures"/>
    <w:basedOn w:val="838"/>
    <w:next w:val="838"/>
    <w:uiPriority w:val="99"/>
    <w:unhideWhenUsed/>
    <w:pPr>
      <w:pBdr/>
      <w:spacing w:after="0" w:afterAutospacing="0"/>
      <w:ind/>
    </w:pPr>
  </w:style>
  <w:style w:type="paragraph" w:styleId="838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39">
    <w:name w:val="Heading 1"/>
    <w:basedOn w:val="838"/>
    <w:next w:val="838"/>
    <w:link w:val="857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40">
    <w:name w:val="Heading 2"/>
    <w:basedOn w:val="838"/>
    <w:next w:val="838"/>
    <w:link w:val="858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41">
    <w:name w:val="Heading 3"/>
    <w:basedOn w:val="838"/>
    <w:next w:val="838"/>
    <w:link w:val="859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42">
    <w:name w:val="Heading 4"/>
    <w:basedOn w:val="838"/>
    <w:next w:val="838"/>
    <w:link w:val="860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43">
    <w:name w:val="Heading 5"/>
    <w:basedOn w:val="838"/>
    <w:next w:val="838"/>
    <w:link w:val="861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44">
    <w:name w:val="Heading 6"/>
    <w:basedOn w:val="838"/>
    <w:next w:val="838"/>
    <w:link w:val="862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45">
    <w:name w:val="Heading 7"/>
    <w:basedOn w:val="838"/>
    <w:next w:val="838"/>
    <w:link w:val="863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46">
    <w:name w:val="Heading 8"/>
    <w:basedOn w:val="838"/>
    <w:next w:val="838"/>
    <w:link w:val="864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47">
    <w:name w:val="Heading 9"/>
    <w:basedOn w:val="838"/>
    <w:next w:val="838"/>
    <w:link w:val="865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48" w:default="1">
    <w:name w:val="Default Paragraph Font"/>
    <w:uiPriority w:val="1"/>
    <w:semiHidden/>
    <w:unhideWhenUsed/>
    <w:pPr>
      <w:pBdr/>
      <w:spacing/>
      <w:ind/>
    </w:pPr>
  </w:style>
  <w:style w:type="table" w:styleId="84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50" w:default="1">
    <w:name w:val="No List"/>
    <w:uiPriority w:val="99"/>
    <w:semiHidden/>
    <w:unhideWhenUsed/>
    <w:pPr>
      <w:pBdr/>
      <w:spacing/>
      <w:ind/>
    </w:pPr>
  </w:style>
  <w:style w:type="paragraph" w:styleId="851" w:customStyle="1">
    <w:name w:val="Реквизит"/>
    <w:basedOn w:val="838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52">
    <w:name w:val="Title"/>
    <w:basedOn w:val="838"/>
    <w:link w:val="853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53" w:customStyle="1">
    <w:name w:val="Заголовок Знак"/>
    <w:basedOn w:val="848"/>
    <w:link w:val="852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54">
    <w:name w:val="Message Header"/>
    <w:basedOn w:val="838"/>
    <w:link w:val="855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55" w:customStyle="1">
    <w:name w:val="Шапка Знак"/>
    <w:basedOn w:val="848"/>
    <w:link w:val="854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56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57" w:customStyle="1">
    <w:name w:val="Заголовок 1 Знак"/>
    <w:basedOn w:val="848"/>
    <w:link w:val="839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58" w:customStyle="1">
    <w:name w:val="Заголовок 2 Знак"/>
    <w:basedOn w:val="848"/>
    <w:link w:val="84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59" w:customStyle="1">
    <w:name w:val="Заголовок 3 Знак"/>
    <w:basedOn w:val="848"/>
    <w:link w:val="841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60" w:customStyle="1">
    <w:name w:val="Заголовок 4 Знак"/>
    <w:basedOn w:val="848"/>
    <w:link w:val="842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61" w:customStyle="1">
    <w:name w:val="Заголовок 5 Знак"/>
    <w:basedOn w:val="848"/>
    <w:link w:val="84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62" w:customStyle="1">
    <w:name w:val="Заголовок 6 Знак"/>
    <w:basedOn w:val="848"/>
    <w:link w:val="84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63" w:customStyle="1">
    <w:name w:val="Заголовок 7 Знак"/>
    <w:basedOn w:val="848"/>
    <w:link w:val="84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64" w:customStyle="1">
    <w:name w:val="Заголовок 8 Знак"/>
    <w:basedOn w:val="848"/>
    <w:link w:val="84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65" w:customStyle="1">
    <w:name w:val="Заголовок 9 Знак"/>
    <w:basedOn w:val="848"/>
    <w:link w:val="84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66">
    <w:name w:val="Caption"/>
    <w:basedOn w:val="838"/>
    <w:next w:val="838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67">
    <w:name w:val="Signature"/>
    <w:basedOn w:val="838"/>
    <w:link w:val="868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68" w:customStyle="1">
    <w:name w:val="Подпись Знак"/>
    <w:basedOn w:val="848"/>
    <w:link w:val="867"/>
    <w:uiPriority w:val="99"/>
    <w:pPr>
      <w:pBdr/>
      <w:spacing/>
      <w:ind/>
    </w:pPr>
    <w:rPr>
      <w:rFonts w:ascii="Arial" w:hAnsi="Arial"/>
      <w:b/>
      <w:sz w:val="24"/>
    </w:rPr>
  </w:style>
  <w:style w:type="paragraph" w:styleId="869">
    <w:name w:val="Subtitle"/>
    <w:basedOn w:val="838"/>
    <w:next w:val="838"/>
    <w:link w:val="870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70" w:customStyle="1">
    <w:name w:val="Подзаголовок Знак"/>
    <w:basedOn w:val="848"/>
    <w:link w:val="869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71">
    <w:name w:val="Strong"/>
    <w:basedOn w:val="848"/>
    <w:uiPriority w:val="22"/>
    <w:semiHidden/>
    <w:qFormat/>
    <w:pPr>
      <w:pBdr/>
      <w:spacing/>
      <w:ind/>
    </w:pPr>
    <w:rPr>
      <w:b/>
      <w:bCs/>
    </w:rPr>
  </w:style>
  <w:style w:type="character" w:styleId="872">
    <w:name w:val="Emphasis"/>
    <w:basedOn w:val="848"/>
    <w:uiPriority w:val="20"/>
    <w:semiHidden/>
    <w:qFormat/>
    <w:pPr>
      <w:pBdr/>
      <w:spacing/>
      <w:ind/>
    </w:pPr>
    <w:rPr>
      <w:i/>
      <w:iCs/>
    </w:rPr>
  </w:style>
  <w:style w:type="paragraph" w:styleId="873">
    <w:name w:val="List Paragraph"/>
    <w:basedOn w:val="838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74">
    <w:name w:val="Quote"/>
    <w:basedOn w:val="838"/>
    <w:next w:val="838"/>
    <w:link w:val="875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75" w:customStyle="1">
    <w:name w:val="Цитата 2 Знак"/>
    <w:basedOn w:val="848"/>
    <w:link w:val="874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76">
    <w:name w:val="Intense Quote"/>
    <w:basedOn w:val="838"/>
    <w:next w:val="838"/>
    <w:link w:val="877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77" w:customStyle="1">
    <w:name w:val="Выделенная цитата Знак"/>
    <w:basedOn w:val="848"/>
    <w:link w:val="876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78">
    <w:name w:val="Subtle Emphasis"/>
    <w:basedOn w:val="848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79">
    <w:name w:val="Intense Emphasis"/>
    <w:basedOn w:val="848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80">
    <w:name w:val="Subtle Reference"/>
    <w:basedOn w:val="848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81">
    <w:name w:val="Intense Reference"/>
    <w:basedOn w:val="848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82">
    <w:name w:val="Book Title"/>
    <w:basedOn w:val="848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83">
    <w:name w:val="TOC Heading"/>
    <w:basedOn w:val="839"/>
    <w:next w:val="838"/>
    <w:uiPriority w:val="39"/>
    <w:semiHidden/>
    <w:qFormat/>
    <w:pPr>
      <w:pBdr/>
      <w:spacing/>
      <w:ind/>
      <w:outlineLvl w:val="9"/>
    </w:pPr>
  </w:style>
  <w:style w:type="paragraph" w:styleId="884">
    <w:name w:val="Normal Indent"/>
    <w:basedOn w:val="838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85">
    <w:name w:val="annotation text"/>
    <w:basedOn w:val="838"/>
    <w:link w:val="886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86" w:customStyle="1">
    <w:name w:val="Текст примечания Знак"/>
    <w:basedOn w:val="848"/>
    <w:link w:val="885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87" w:customStyle="1">
    <w:name w:val="Редакции"/>
    <w:basedOn w:val="838"/>
    <w:pPr>
      <w:pBdr/>
      <w:spacing w:after="240"/>
      <w:ind w:firstLine="0"/>
      <w:jc w:val="center"/>
    </w:pPr>
    <w:rPr>
      <w:i/>
      <w:iCs/>
    </w:rPr>
  </w:style>
  <w:style w:type="paragraph" w:styleId="888" w:customStyle="1">
    <w:name w:val="Таблица"/>
    <w:basedOn w:val="838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89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90">
    <w:name w:val="Balloon Text"/>
    <w:basedOn w:val="838"/>
    <w:link w:val="891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91" w:customStyle="1">
    <w:name w:val="Текст выноски Знак"/>
    <w:basedOn w:val="848"/>
    <w:link w:val="890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gif"/><Relationship Id="rId9" Type="http://schemas.openxmlformats.org/officeDocument/2006/relationships/hyperlink" Target="https://cbd.minjust.gov.kg/112424/edition/1262743/ru#st_5" TargetMode="External"/><Relationship Id="rId10" Type="http://schemas.openxmlformats.org/officeDocument/2006/relationships/hyperlink" Target="https://cbd.minjust.gov.kg/112424/edition/1262743/ru#st_9" TargetMode="External"/><Relationship Id="rId11" Type="http://schemas.openxmlformats.org/officeDocument/2006/relationships/hyperlink" Target="https://cbd.minjust.gov.kg/112424/edition/1262743/ru#st_64" TargetMode="External"/><Relationship Id="rId12" Type="http://schemas.openxmlformats.org/officeDocument/2006/relationships/hyperlink" Target="https://cbd.minjust.gov.kg/8-259/edition/1055876/ru" TargetMode="External"/><Relationship Id="rId13" Type="http://schemas.openxmlformats.org/officeDocument/2006/relationships/hyperlink" Target="https://cbd.minjust.gov.kg/301175/edition/1055886/ru" TargetMode="External"/><Relationship Id="rId14" Type="http://schemas.openxmlformats.org/officeDocument/2006/relationships/hyperlink" Target="https://cbd.minjust.gov.kg/8-259/edition/1055876/ru" TargetMode="External"/><Relationship Id="rId15" Type="http://schemas.openxmlformats.org/officeDocument/2006/relationships/hyperlink" Target="https://cbd.minjust.gov.kg/301175/edition/1055886/ru" TargetMode="External"/><Relationship Id="rId16" Type="http://schemas.openxmlformats.org/officeDocument/2006/relationships/hyperlink" Target="https://cbd.minjust.gov.kg/301175/edition/1055886/ru#st_1" TargetMode="External"/><Relationship Id="rId17" Type="http://schemas.openxmlformats.org/officeDocument/2006/relationships/hyperlink" Target="https://cbd.minjust.gov.kg/301175/edition/1055886/ru#st_3" TargetMode="External"/><Relationship Id="rId18" Type="http://schemas.openxmlformats.org/officeDocument/2006/relationships/hyperlink" Target="https://cbd.minjust.gov.kg/3-45/edition/25298/ru#st_55" TargetMode="External"/><Relationship Id="rId19" Type="http://schemas.openxmlformats.org/officeDocument/2006/relationships/hyperlink" Target="https://cbd.minjust.gov.kg/301175/edition/1055886/ru#st_3" TargetMode="External"/><Relationship Id="rId20" Type="http://schemas.openxmlformats.org/officeDocument/2006/relationships/hyperlink" Target="https://cbd.minjust.gov.kg/301175/edition/1055886/ru#st_3" TargetMode="External"/><Relationship Id="rId21" Type="http://schemas.openxmlformats.org/officeDocument/2006/relationships/hyperlink" Target="https://cbd.minjust.gov.kg/301175/edition/1055886/ru#st_3" TargetMode="External"/><Relationship Id="rId22" Type="http://schemas.openxmlformats.org/officeDocument/2006/relationships/hyperlink" Target="https://cbd.minjust.gov.kg/301175/edition/1055886/ru#st_3" TargetMode="External"/><Relationship Id="rId23" Type="http://schemas.openxmlformats.org/officeDocument/2006/relationships/hyperlink" Target="https://cbd.minjust.gov.kg/301175/edition/1055886/ru#st_3" TargetMode="External"/><Relationship Id="rId24" Type="http://schemas.openxmlformats.org/officeDocument/2006/relationships/hyperlink" Target="https://cbd.minjust.gov.kg/301175/edition/1055886/ru#st_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18</cp:revision>
  <dcterms:created xsi:type="dcterms:W3CDTF">2024-01-18T05:24:00Z</dcterms:created>
  <dcterms:modified xsi:type="dcterms:W3CDTF">2025-10-30T05:47:59Z</dcterms:modified>
</cp:coreProperties>
</file>