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after="360"/>
        <w:ind w:right="0" w:firstLine="0" w:left="0"/>
        <w:jc w:val="center"/>
        <w:rPr>
          <w:highlight w:val="none"/>
        </w:rPr>
      </w:pPr>
      <w:r>
        <w:rPr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247775" cy="1257300"/>
                <wp:effectExtent l="0" t="0" r="0" b="0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2873970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1247774" cy="12572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98.25pt;height:99.00pt;mso-wrap-distance-left:0.00pt;mso-wrap-distance-top:0.00pt;mso-wrap-distance-right:0.00pt;mso-wrap-distance-bottom:0.00pt;z-index:1;" stroked="false">
                <v:imagedata r:id="rId8" o:title=""/>
                <o:lock v:ext="edit" rotation="t"/>
              </v:shape>
            </w:pict>
          </mc:Fallback>
        </mc:AlternateContent>
      </w:r>
      <w:r>
        <w:rPr>
          <w:highlight w:val="none"/>
        </w:rPr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76" w:lineRule="atLeast"/>
        <w:ind w:right="1134" w:firstLine="0" w:left="1134"/>
        <w:jc w:val="center"/>
        <w:rPr>
          <w:sz w:val="32"/>
          <w:szCs w:val="32"/>
        </w:rPr>
      </w:pPr>
      <w:r>
        <w:rPr>
          <w:rFonts w:ascii="Arial" w:hAnsi="Arial" w:eastAsia="Arial" w:cs="Arial"/>
          <w:b/>
          <w:color w:val="000000"/>
          <w:sz w:val="32"/>
          <w:szCs w:val="32"/>
        </w:rPr>
        <w:t xml:space="preserve">ПОСТАНОВЛЕНИЕ ПРАВЛЕНИЯ НАЦИОНАЛЬНОГО БАНКА КЫРГЫЗСКОЙ РЕСПУБЛИКИ</w:t>
      </w:r>
      <w:r>
        <w:rPr>
          <w:sz w:val="32"/>
          <w:szCs w:val="32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0" w:left="0"/>
        <w:jc w:val="left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i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i/>
          <w:color w:val="000000"/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0" w:left="0"/>
        <w:jc w:val="left"/>
        <w:rPr>
          <w:rFonts w:ascii="Arial" w:hAnsi="Arial" w:eastAsia="Arial" w:cs="Arial"/>
          <w:bCs w:val="0"/>
          <w:i w:val="0"/>
          <w:color w:val="000000"/>
          <w:sz w:val="24"/>
          <w:szCs w:val="24"/>
          <w:highlight w:val="none"/>
        </w:rPr>
      </w:pPr>
      <w:r>
        <w:rPr>
          <w:rFonts w:ascii="Arial" w:hAnsi="Arial" w:eastAsia="Arial" w:cs="Arial"/>
          <w:i w:val="0"/>
          <w:iCs w:val="0"/>
          <w:color w:val="000000"/>
          <w:sz w:val="24"/>
          <w:szCs w:val="24"/>
        </w:rPr>
        <w:t xml:space="preserve">от 26 сентября 2025 года № 2025-П-12/49-3-(НПА)</w:t>
      </w:r>
      <w:r>
        <w:rPr>
          <w:i w:val="0"/>
          <w:iCs w:val="0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0" w:left="0"/>
        <w:jc w:val="left"/>
        <w:rPr>
          <w:rFonts w:ascii="Arial" w:hAnsi="Arial" w:eastAsia="Arial" w:cs="Arial"/>
          <w:bCs/>
          <w:i/>
          <w:color w:val="000000"/>
          <w:sz w:val="24"/>
          <w:szCs w:val="24"/>
          <w:highlight w:val="none"/>
        </w:rPr>
      </w:pPr>
      <w:r>
        <w:rPr>
          <w:rFonts w:ascii="Arial" w:hAnsi="Arial" w:eastAsia="Arial" w:cs="Arial"/>
          <w:i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i/>
          <w:color w:val="000000"/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76" w:lineRule="atLeast"/>
        <w:ind w:right="1134" w:firstLine="0" w:left="1134"/>
        <w:jc w:val="center"/>
        <w:rPr>
          <w:rFonts w:ascii="Arial" w:hAnsi="Arial" w:eastAsia="Arial" w:cs="Arial"/>
          <w:b/>
          <w:bCs/>
          <w:color w:val="000000"/>
          <w:sz w:val="28"/>
          <w:szCs w:val="28"/>
          <w:highlight w:val="none"/>
        </w:rPr>
      </w:pPr>
      <w:r>
        <w:rPr>
          <w:rFonts w:ascii="Arial" w:hAnsi="Arial" w:eastAsia="Arial" w:cs="Arial"/>
          <w:b/>
          <w:color w:val="000000"/>
          <w:sz w:val="28"/>
          <w:szCs w:val="28"/>
        </w:rPr>
        <w:t xml:space="preserve">О внесении изменений в некоторые нормативные правовые акты Национального банка Кыргызской Республики</w:t>
      </w:r>
      <w:r>
        <w:rPr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76" w:lineRule="atLeast"/>
        <w:ind w:right="1134" w:firstLine="0" w:left="1134"/>
        <w:jc w:val="center"/>
        <w:rPr>
          <w:rFonts w:ascii="Arial" w:hAnsi="Arial" w:eastAsia="Arial" w:cs="Arial"/>
          <w:sz w:val="28"/>
          <w:szCs w:val="28"/>
        </w:rPr>
      </w:pPr>
      <w:r>
        <w:rPr>
          <w:rFonts w:ascii="Arial" w:hAnsi="Arial" w:eastAsia="Arial" w:cs="Arial"/>
          <w:b/>
          <w:color w:val="000000"/>
          <w:sz w:val="28"/>
          <w:szCs w:val="28"/>
          <w:highlight w:val="none"/>
        </w:rPr>
      </w:r>
      <w:r>
        <w:rPr>
          <w:rFonts w:ascii="Arial" w:hAnsi="Arial" w:eastAsia="Arial" w:cs="Arial"/>
          <w:b/>
          <w:color w:val="000000"/>
          <w:sz w:val="28"/>
          <w:szCs w:val="28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соответствии со статьями </w:t>
      </w:r>
      <w:hyperlink r:id="rId9" w:tooltip="https://cbd.minjust.gov.kg/112424/edition/37202/ru#st_5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5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, </w:t>
      </w:r>
      <w:hyperlink r:id="rId10" w:tooltip="https://cbd.minjust.gov.kg/112424/edition/37202/ru#st_9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9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и </w:t>
      </w:r>
      <w:hyperlink r:id="rId11" w:tooltip="https://cbd.minjust.gov.kg/112424/edition/37202/ru#st_64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64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конституционного Закона Кыргызской Республики "О Национальном банке Кыргызской Республики" Правление Национального банка Кыргызской Республики постановляет: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1. Внести изменения в следующие постановления Правления Национального банка Кыргызской Республики (</w:t>
      </w:r>
      <w:hyperlink w:tooltip="#pr" w:anchor="pr" w:history="1">
        <w:r>
          <w:rPr>
            <w:rStyle w:val="876"/>
            <w:rFonts w:ascii="Arial" w:hAnsi="Arial" w:eastAsia="Arial" w:cs="Arial"/>
            <w:sz w:val="24"/>
            <w:szCs w:val="24"/>
          </w:rPr>
          <w:t xml:space="preserve">прилагаются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):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"Об утверждении </w:t>
      </w:r>
      <w:hyperlink r:id="rId12" w:tooltip="https://cbd.minjust.gov.kg/46-3388/edition/934579/ru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"О минимальных требованиях по управлению операционным риском в коммерческих банках Кыргызской Республики" </w:t>
      </w:r>
      <w:hyperlink r:id="rId13" w:tooltip="https://cbd.minjust.gov.kg/8-107/edition/934581/ru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от 15 декабря 2005 года № 37/5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"Об утверждении </w:t>
      </w:r>
      <w:hyperlink r:id="rId14" w:tooltip="https://cbd.minjust.gov.kg/22-445/edition/1167311/ru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по работе с банковскими счетами, счетами по банковским вкладам (депозитам)" </w:t>
      </w:r>
      <w:hyperlink r:id="rId15" w:tooltip="https://cbd.minjust.gov.kg/8-412/edition/680721/ru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от 31 октября 2012 года № 41/12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2. Юридическому управлению: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со дня получения соответствующих документов в течение 3 (трех) рабочих дней опубликовать настоящее постановление на официальном интернет-сайте Национального банка Кыргызской Республики;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3. Настоящее постановление вступает в силу по истечении 15 (пятнадцати) дней со дня официального опубликования, за исключением пятнадцатого, шестнадцатого, семнадцатого и восемнадцатого абзацев пункта 1 </w:t>
      </w:r>
      <w:hyperlink w:tooltip="#pr" w:anchor="pr" w:history="1">
        <w:r>
          <w:rPr>
            <w:rStyle w:val="876"/>
            <w:rFonts w:ascii="Arial" w:hAnsi="Arial" w:eastAsia="Arial" w:cs="Arial"/>
            <w:sz w:val="24"/>
            <w:szCs w:val="24"/>
          </w:rPr>
          <w:t xml:space="preserve">Приложения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к настоящему постановлению, которые вступают в силу с 1 марта 2026 года.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4. Управлению методологии надзора в течение 3 (трех) рабочих дней довести настоящее постановление до сведения коммерческих банков, ОЮЛ "Союз банков Кыргызстана".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5. Отделу "Секретариат Правления" в течение 3 (трех) рабочих дней довести настоящее постановление до сведения управления банковского надзора, юридического управления, областных управлений и Представительства Национального банка Кыргызской Республики в Батк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енской области.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Республики, курирующего управление методологии надзора.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0" w:left="0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0" w:left="0"/>
        <w:jc w:val="both"/>
        <w:rPr>
          <w:rFonts w:ascii="Arial" w:hAnsi="Arial" w:eastAsia="Arial" w:cs="Arial"/>
          <w:color w:val="000000"/>
          <w:sz w:val="24"/>
          <w:szCs w:val="24"/>
          <w:highlight w:val="none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tbl>
      <w:tblPr>
        <w:tblStyle w:val="683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3256"/>
        <w:gridCol w:w="2814"/>
        <w:gridCol w:w="3285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2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hanging="567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Председатель 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85" w:type="dxa"/>
            <w:vAlign w:val="bottom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М. Тургунбаев</w:t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rFonts w:ascii="Arial" w:hAnsi="Arial" w:eastAsia="Arial" w:cs="Arial"/>
          <w:color w:val="000000"/>
          <w:sz w:val="24"/>
          <w:szCs w:val="24"/>
          <w:highlight w:val="none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</w:r>
      <w:r>
        <w:rPr>
          <w:rFonts w:ascii="Arial" w:hAnsi="Arial" w:eastAsia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</w:r>
      <w:r>
        <w:rPr>
          <w:rFonts w:ascii="Arial" w:hAnsi="Arial" w:eastAsia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</w:r>
      <w:r>
        <w:rPr>
          <w:rFonts w:ascii="Arial" w:hAnsi="Arial" w:eastAsia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</w:p>
    <w:tbl>
      <w:tblPr>
        <w:tblStyle w:val="683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3275"/>
        <w:gridCol w:w="2805"/>
        <w:gridCol w:w="3275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</w:r>
            <w:bookmarkStart w:id="1" w:name="pr"/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Приложение</w:t>
            </w:r>
            <w:bookmarkEnd w:id="1"/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br/>
              <w:t xml:space="preserve">к постановлению Правления Национального банка Кыргызской Республики</w:t>
              <w:br/>
              <w:t xml:space="preserve">от 26 сентября 2025 года № 2025-П-12/49-3-(НПА)</w:t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76" w:lineRule="atLeast"/>
        <w:ind w:right="1134" w:firstLine="0" w:left="1134"/>
        <w:jc w:val="center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b/>
          <w:color w:val="000000"/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76" w:lineRule="atLeast"/>
        <w:ind w:right="1134" w:firstLine="0" w:left="1134"/>
        <w:jc w:val="center"/>
        <w:rPr>
          <w:rFonts w:ascii="Arial" w:hAnsi="Arial" w:eastAsia="Arial" w:cs="Arial"/>
          <w:b/>
          <w:bCs/>
          <w:color w:val="000000"/>
          <w:sz w:val="24"/>
          <w:szCs w:val="24"/>
          <w:highlight w:val="none"/>
        </w:rPr>
      </w:pPr>
      <w:r>
        <w:rPr>
          <w:rFonts w:ascii="Arial" w:hAnsi="Arial" w:eastAsia="Arial" w:cs="Arial"/>
          <w:b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b/>
          <w:color w:val="000000"/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76" w:lineRule="atLeast"/>
        <w:ind w:right="1134" w:firstLine="0" w:left="1134"/>
        <w:jc w:val="center"/>
        <w:rPr>
          <w:rFonts w:ascii="Arial" w:hAnsi="Arial" w:eastAsia="Arial" w:cs="Arial"/>
          <w:b/>
          <w:bCs/>
          <w:color w:val="000000"/>
          <w:sz w:val="24"/>
          <w:szCs w:val="24"/>
          <w:highlight w:val="none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ИЗМЕНЕНИЯ</w:t>
        <w:br/>
        <w:t xml:space="preserve">в некоторые нормативные правовые акты Национального банка Кыргызской Республики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76" w:lineRule="atLeast"/>
        <w:ind w:right="1134" w:firstLine="0" w:left="1134"/>
        <w:jc w:val="center"/>
        <w:rPr>
          <w:rFonts w:ascii="Arial" w:hAnsi="Arial" w:eastAsia="Arial" w:cs="Arial"/>
          <w:b/>
          <w:bCs/>
          <w:color w:val="000000"/>
          <w:sz w:val="24"/>
          <w:szCs w:val="24"/>
          <w:highlight w:val="none"/>
        </w:rPr>
      </w:pPr>
      <w:r>
        <w:rPr>
          <w:rFonts w:ascii="Arial" w:hAnsi="Arial" w:eastAsia="Arial" w:cs="Arial"/>
          <w:b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b/>
          <w:color w:val="000000"/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1. Внести в </w:t>
      </w:r>
      <w:hyperlink r:id="rId16" w:tooltip="https://cbd.minjust.gov.kg/8-107/edition/934581/ru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r:id="rId17" w:tooltip="https://cbd.minjust.gov.kg/46-3388/edition/934579/ru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"О минимальных требованиях по управлению операционным риском в коммерческих банках Кыргызской Республики" от 15 декабря 2005 года № 37/5 следующее изменение: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sz w:val="24"/>
          <w:szCs w:val="24"/>
        </w:rPr>
      </w:r>
      <w:hyperlink r:id="rId18" w:tooltip="https://cbd.minjust.gov.kg/46-3388/edition/934579/ru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"О минимальных требованиях по управлению операционным риском в коммерческих банках Кыргызской Республики", утвержденное вышеуказанным </w:t>
      </w:r>
      <w:hyperlink r:id="rId19" w:tooltip="https://cbd.minjust.gov.kg/8-107/edition/934581/ru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, дополнить </w:t>
      </w:r>
      <w:hyperlink r:id="rId20" w:tooltip="https://cbd.minjust.gov.kg/46-3388/edition/934579/ru#r6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главой VI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следующего содержания: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0" w:left="0"/>
        <w:jc w:val="center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</w:t>
      </w:r>
      <w:hyperlink r:id="rId21" w:tooltip="https://cbd.minjust.gov.kg/46-3388/edition/934579/ru#r6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VI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. Минимальные требования к системе противодействия</w:t>
        <w:br/>
        <w:t xml:space="preserve">внутреннему и внешнему мошенничеству (антифрод)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6.1. Банк обязан обеспечить наличие и эффективное функционирование системы противодействия внутреннему и внешнему мошенничествам (антифрод) в соответствии с требованиями настоящей главы.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6.2. Требования настоящей главы применяются в качестве основного механизма противодействия внутреннему и внешнему мошенничествам в банковских информационных системах, в том числе в случае несоответствия имеющихся в банковских информационных системах алгори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тмов противодействия внутреннему и внешнему мошенничествам требованиям настоящей главы.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6.3. Банк обязан разработать, утвердить советом директоров и внедрить Политику противодействия мошенничеству в системах удаленного/дистанционного банковского обслуживания (далее - Политика). Политика может быть оформлена в виде отдельного документа или явл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яться составной частью политики управления рисками банка.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Политика как минимум должна содержать: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стремление руководства, подтверждающее приверженность защите клиентов от внутреннего и внешнего мошенничеств в системах удаленного/дистанционного банковского обслуживания;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принципы раннего выявления, предупреждения и предотвращения мошенничества в системах удаленного/дистанционного банковского обслуживания;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порядок применения адекватных и своевременных автоматизированных или полуавтоматизированных мер реагирования на выявленные случаи или попытки мошенничества, соразмерных оцененному уровню риска;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меры ответственностей в соответствии с законодательством Кыргызской Республики, применяемые к сотрудникам банка за бездействие или ненадлежащее действие в сфере противодействия мошенничеству, включая мониторинг угроз, разработку и внедрение мер противоде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йствия, а также реагирование на инциденты.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Политика подлежит пересмотру и актуализации не реже одного раза в год.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Внутренние процедуры и документы банка, регламентирующие противодействие мошенничеству в системах удаленного/дистанционного банковского обслуживания, подлежат пересмотру по мере необходимости, но не реже одного раза в два года, с учетом эффективности приме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няемых мер, лучшего международного опыта и актуальных угроз.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Банк обязан интегрировать вышеуказанные процедуры и документы в систему управления рисками и обеспечить ознакомление с ними всех необходимых сотрудников банка.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6.4. Банк обязан внедрить системы противодействия мошенничеству в информационных системах удаленного/дистанционного банковского обслуживания для предотвращения как внутреннего, так и внешнего мошенничеств.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Эти системы должны обеспечивать непрерывный мониторинг и оценку риска мошенничества для каждой расходной транзакции, проводимой через системы удаленного/дистанционного банковского обслуживания, независимо от суммы, регулярности и истории предыдущих транзак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ций. Реализация данных систем допускается двумя способами: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в виде отдельного, независимого программного или программно-аппаратного комплекса, взаимодействующего со всеми используемыми банковскими автоматизированными системами удаленного/дистанционного банковского обслуживания;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путем интеграции специализированного модуля противодействия мошенничеству непосредственно в каждую из используемых банковских автоматизированных систем удаленного/дистанционного банковского обслуживания.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6.5. При использовании программного обеспечения для противодействия внутреннему и внешнему мошенничествам в банковских информационных системах банк должен направить соответствующее уведомление с полным описанием реализованной архитектуры, принципов функцио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нирования, применяемых методов оценки риска согласно требованиям настоящего Положения, в Национальный банк.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6.6. Система противодействия внутреннему и внешнему мошенничествам в информационных системах удаленного/дистанционного обслуживания должна производить оценку риска мошенничества в отношении каждой совершаемой расходной транзакции на основании правил, повед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енческих моделей, шаблонов и результатов анализа. В результате оценки риска мошенничества система должна присваивать как минимум один из трех признаков: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низкий риск: транзакция безопасна;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средний риск: транзакция подозрительна и может быть мошеннической;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высокий риск: транзакция является мошеннической.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6.7. При присвоении транзакции среднего уровня риска на основании существенного отклонения от стандартного поведения клиента или наличия совокупности факторов банк обязан обеспечить ее обязательную проверку. Проверка может быть выполнена автоматически или 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вручную уполномоченным сотрудником банка. По результатам проверки банк обязан выполнить одно или несколько из следующих действий: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переоценить уровень риска и присвоить транзакции новый уровень: низкий или высокий;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внести необходимые изменения в правила и шаблоны системы противодействия мошенничеству в удаленное/дистанционное банковское обслуживание, дополнив их выявленными признаками мошеннических операций, обнаруженных при анализе транзакций с высоким уровнем рис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ка;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обеспечить хранение полной информации о проведенной проверке, включая результаты, полученные данные, сведения о сотрудниках, принимавших решения, и направленные клиенту уведомления в системе противодействия мошенничеству при дистанционном банковском обсл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уживании. Указанная информация подлежит хранению не менее 5 лет с момента проведения операции.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6.8. Низкий уровень риска должен присваиваться транзакциям, которые соответствуют типичному поведению пользователя, имеют незначительные отклонения от него либо прошли успешную проверку после первоначального присвоения среднего уровня риска.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6.9. Банк вправе приостановить расходные операции по банковскому счету на срок до 30 дней в следующих случаях: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при выявлении признаков, соответствующих критериям мошенничества, установленным в пункте 6.12 настоящего Положения;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при отсутствии от клиента подтверждающей информации, однозначно свидетельствующей о самостоятельном совершении операции;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 уведомлению клиента о мошеннических действиях по его банковскому счету.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Банк должен в системах дистанционного банковского обслуживания предусмотреть возможность подачи физическими лицами уведомления о мошеннических действиях по его банковскому счету, а также формирование выписки по счету с транзакцией/транзакциями для последую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щего обращения в правоохранительные органы.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Такая возможность должна быть реализована в виде отдельной функции, обеспечивающей: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круглосуточную доступность без необходимости обращения в отделения банка;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наличие обособленного канала коммуникации, предназначенного исключительно для передачи уведомлений о мошеннических операциях;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простую, интуитивно понятную форму подачи уведомления, с возможностью указания ключевых параметров транзакции: даты, суммы, реквизитов получателя, описания обстоятельств и наличия доказательств;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автоматическую фиксацию факта подачи уведомления в информационных системах банка с отметкой времени и идентификатора клиента;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инициацию процедуры приостановки и анализа транзакции.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Уведомление, поданное через указанную функцию, подлежит незамедлительному рассмотрению, и необходимо принять соответствующие меры по оценке транзакции, с последующим информированием клиента о принятых мерах, в том числе с рекомендацией по обращению в право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охранительные органы.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Банк обязан незамедлительно информировать клиента о приостановлении операции с использованием доступных каналов коммуникации (мобильное приложение, электронная почта, служба коротких сообщений (SMS), телефонный звонок и иное).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6.10. Системы противодействия внутреннему и внешнему мошенничествам в информационных системах удаленного/дистанционного банковского обслуживания обязаны формировать и поддерживать реестр запрещенных к обслуживанию идентификаторов и атрибутов, используемых 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при совершении мошеннических операций, в случае присвоения транзакции высокого уровня риска мошенничества. Данный реестр должен включать как минимум номер телефона, ID QR, сервисное имя (идентификатор) получателя или отправителя платежной/банковской систем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ы, а также иные идентификаторы и атрибуты, связанные с мошеннической деятельностью.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6.11. Оценке риска мошенничества должны подвергаться все транзакции, проводимые через системы дистанционного обслуживания и связанные с: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выдачей кредитов;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использованием платежных QR-кодов;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внутрибанковским и межбанковским переводом средств;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использованием систем "ГРОСС"/"КЛИРИНГ";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международными переводами средств (SWIFT и другие международные системы денежных переводов);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снятием наличных денежных средств;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приемом платежей через POS-терминалы;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переводом средств на кошельки виртуальных активов и счета иностранных операторов торгов виртуальных активов;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погашением задолженности из источников, не характерных для пользователя;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использованием предоплаченных карт для приобретения товаров и услуг;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зачислением денежных средств через депозитные устройства (кэш-ин-устройства);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транзакцией с использованием виртуальных карт;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переводом на счета и платформы онлайн-казино, игровых сервисов и сайтов ставок;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иными операциями, определенными банком в рамках своей политики по предотвращению мошенничества.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Банк должен определить специализированные подразделения, ответственные за мониторинг транзакций в режиме реального времени, а также при необходимости, регулярно дополнять перечень новыми транзакциями, подлежащих оценке риска, с учетом новых схем мошенничес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тва и изменений в цифровой безопасности.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6.12. Для целей оценки риска мошенничества при проведении транзакций банк обязан использовать критерии мошенничества, являющиеся основанием для признания транзакции подозрительной или мошеннической.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Критерии мошенничества представляют собой один или совокупность признаков и моделей поведения, свидетельствующих об отклонении от стандартной активности клиента и потенциальной попытке совершения мошеннической транзакции.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Применяемые критерии мошенничества должны включать, в том числе, но не ограничиваться следующими признаками: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аномальная частота транзакций: внезапное увеличение количества транзакций как инициированных клиентом, так и полученных им;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групповая аномальная активность: внезапный рост активности группы клиентов, осуществляющих транзакции, подобные по сумме, получателю или типу;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аномальный размер (сумма) транзакций: транзакции на суммы, не соответствующие типичному поведению клиента, а также совершение платежей в непривычных для клиента категориях товаров/услуг;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аномальное географическое положение: необычное географическое положение (IP-адрес), регистрация с нового мобильного устройства, использование VPN или прокси-серверов;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аномальное время проведения операций: необычное время суток или день недели для совершения транзакций клиентом;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многократные неудачные попытки входа: повторные неудачные попытки авторизации в системе;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частая смена контактной информации: частая смена контактных данных, особенно перед крупными транзакциями;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совпадение с известными схемами мошенничества: соответствие транзакции признакам известных схем мошенничества;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частые возвраты или отмены транзакций: необычно большое количество возвратов или отмененных транзакций;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использование подозрительных получателей: переводы средств на счета получателей, идентифицированных как подозрительные;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распределение средств на множество получателей: дробление транзакций и распределение средств на большое количество получателей;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аномальные источники пополнения средств: пополнение счета из источников, не характерных для данного клиента;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частое привязывание и отвязывание платежных инструментов: частая смена привязанных платежных карт или учетных записей;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аномальные изменения в режиме доступа: изменения в режиме доступа, включение новых способов авторизации или изменение способа входа, несвойственные для данного клиента;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несоответствие анкетных данных (домохозяйка, безработный и т.д.) частоте и сумме транзакций;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участие счета клиента в дроблении или укрупнении денежных средств и с быстрым переводом на другие счета клиента в другой банк;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пополнение карты разными лицами с помощью разных инструментов с дальнейшим выводом с карты;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иные критерии, определенные банком в рамках своей политики по предотвращению мошенничества.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6.13. Все транзакции в отношении запрещенных к обслуживанию идентификаторов должны отклоняться с соответствующим уведомлением клиента.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Банк должен разрабатывать внутренние процедуры и документы, регламентирующие порядок внесения идентификаторов в реестр запрещенных к обслуживанию, а также порядок исключения записей из него в случае обнаружения ошибок или подтверждения самостоятельного про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ведения операции клиентом.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случае выявления фактов осуществления транзакции в отношении идентификаторов, обслуживание которых запрещено банком, а также фактов совершения транзакций неуполномоченным клиентом лицом, за исключением случаев, когда такие транзакции совершены по вине са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мого клиента, либо выявления фактов нарушения установленных требований, предусмотренных нормативными правовыми актами Национального банка при предоставлении кредитов, банк обязан возместить клиенту причиненный ущерб, возникший в результате таких транзакций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Возмещение ущерба производится за счет капитала, резервируемого для покрытия операционных рисков и рассчитываемого в соответствии с нормативными правовыми актами Национального банка.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6.14. Реестр запрещенных к обслуживанию идентификаторов может дополняться вручную уполномоченными сотрудниками банка на основании достоверной информации о мошеннической природе того или иного клиентского идентификатора, полученной по линии государственных 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органов и Национального банка, в результате анализа публикаций в локальных и зарубежных средствах массовой информации, включая сетевые издания, зарегистрированных в установленном порядке, или при поступлении значительного количества однотипных клиентских о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бращений по фактам подозрительных операций.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6.15. Реестр запрещенных к обслуживанию идентификаторов должен вестись защищенно, не допуская несанкционированного вмешательства сотрудников банка и третьих лиц, обеспечивая целостность записей.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Доступ к реестру разрешается только уполномоченным сотрудникам банка с использованием многофакторной аутентификации. Любые изменения в системе должны фиксироваться в журнале регистрации событий с указанием ответственного лица, времени внесения изменений и 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оснований для корректировки. Сведения из журнала регистрации событий должны храниться не менее 5 лет.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6.16. Банк должен разрабатывать и внедрять системы мониторинга эффективности мер противодействия мошенничеству, включая следующие метрики: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долю заблокированных подозрительных операций, которые впоследствии были подтверждены как мошеннические (Precision);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долю ложноположительных срабатываний (ошибочно заблокированных транзакций) (False positive rate);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долю пропущенных мошеннических операций среди всех подтвержденных случаев (Recall);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среднее время выявления инцидента (Mean time to detect);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среднее время реагирования на инцидент (Mean time to respond);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количество выявленных и задокументированных способов мошенничества;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показатель клиентского опыта и точности работы системы, в том числе скорость обратной связи и процент разрешения конфликтных ситуаций в пользу клиента при ошибочной блокировке;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показатель качества ведения реестра запрещенных идентификаторов (актуальность, полнота, своевременность обновления).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Результаты оценки эффективности подлежат документированию и предоставлению в Национальный банк не реже 1 (одного) раза в квартал.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6.17. Банк должен регулярно проводить тестирование систем противодействия внутреннему и внешнему мошенничествам для оценки эффективности, точности и устойчивости к новым угрозам.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Тестирование проводится не реже одного раза в год, а также при внесении значительных изменений в систему.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Обязательными являются следующие виды тестирования: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стресс-тестирование, заключающееся в моделировании повышенной нагрузки и нестандартных сценариев клиентского поведения с целью оценки устойчивости и эффективности системы;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тестирование безопасности на проникновение;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тестирование новых алгоритмов на основе актуальных способов мошенничества.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По результатам тестирования банк должен в течение 30 рабочих дней разработать и внедрить соответствующие корректирующие меры для устранения выявленных уязвимостей высокого уровня критичности, для иных случаев - 60 рабочих дней. Сроки могут быть продлены на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основании технического заключения банка.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Банк должен документировать результаты тестирования и ежегодно предоставлять их в Национальный банк.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Документация по тестированию подлежит хранению не менее 5 лет.".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2. Внести в </w:t>
      </w:r>
      <w:hyperlink r:id="rId22" w:tooltip="https://cbd.minjust.gov.kg/8-412/edition/680721/ru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r:id="rId23" w:tooltip="https://cbd.minjust.gov.kg/22-445/edition/1167311/ru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по работе с банковскими счетами, счетами по банковским вкладам (депозитам)" от 31 октября 2012 года № 41/12 следующее изменение: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sz w:val="24"/>
          <w:szCs w:val="24"/>
        </w:rPr>
      </w:r>
      <w:hyperlink r:id="rId24" w:tooltip="https://cbd.minjust.gov.kg/22-445/edition/1167311/ru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по работе с банковскими счетами, счетами по банковским вкладам (депозитам), утвержденную вышеуказанным </w:t>
      </w:r>
      <w:hyperlink r:id="rId25" w:tooltip="https://cbd.minjust.gov.kg/8-412/edition/680721/ru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, дополнить пунктом 22-5 следующего содержания: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"22-5. В случае выявления признаков, указывающих на возможный мошеннический характер расходной операции, банк вправе приостановить проведение такой операции на срок до 30 (тридцати) дней.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Порядок выявления указанных признаков, алгоритм приостановки и возобновления операций устанавливаются нормативными правовыми документами Национального банка, устанавливающими минимальные требования к функционированию систем противодействия внутреннему и вн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ешнему мошенничествам (антифрод).".</w:t>
      </w:r>
      <w:r>
        <w:rPr>
          <w:sz w:val="24"/>
          <w:szCs w:val="24"/>
        </w:rPr>
      </w:r>
    </w:p>
    <w:p>
      <w:pPr>
        <w:pBdr/>
        <w:spacing w:after="360"/>
        <w:ind w:right="0" w:firstLine="0" w:left="0"/>
        <w:jc w:val="center"/>
        <w:rPr>
          <w:sz w:val="24"/>
          <w:szCs w:val="24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sectPr>
      <w:footnotePr/>
      <w:endnotePr/>
      <w:type w:val="nextPage"/>
      <w:pgSz w:h="11906" w:orient="landscape" w:w="16838"/>
      <w:pgMar w:top="1701" w:right="1134" w:bottom="850" w:left="1134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87">
    <w:name w:val="FollowedHyperlink"/>
    <w:basedOn w:val="835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character" w:styleId="665">
    <w:name w:val="Heading 1 Char"/>
    <w:basedOn w:val="835"/>
    <w:link w:val="826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666">
    <w:name w:val="Heading 2 Char"/>
    <w:basedOn w:val="835"/>
    <w:link w:val="827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667">
    <w:name w:val="Heading 3 Char"/>
    <w:basedOn w:val="835"/>
    <w:link w:val="828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668">
    <w:name w:val="Heading 4 Char"/>
    <w:basedOn w:val="835"/>
    <w:link w:val="829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669">
    <w:name w:val="Heading 5 Char"/>
    <w:basedOn w:val="835"/>
    <w:link w:val="830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670">
    <w:name w:val="Heading 6 Char"/>
    <w:basedOn w:val="835"/>
    <w:link w:val="831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671">
    <w:name w:val="Heading 7 Char"/>
    <w:basedOn w:val="835"/>
    <w:link w:val="832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2">
    <w:name w:val="Heading 8 Char"/>
    <w:basedOn w:val="835"/>
    <w:link w:val="833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673">
    <w:name w:val="Heading 9 Char"/>
    <w:basedOn w:val="835"/>
    <w:link w:val="834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character" w:styleId="674">
    <w:name w:val="Title Char"/>
    <w:basedOn w:val="835"/>
    <w:link w:val="839"/>
    <w:uiPriority w:val="10"/>
    <w:pPr>
      <w:pBdr/>
      <w:spacing/>
      <w:ind/>
    </w:pPr>
    <w:rPr>
      <w:sz w:val="48"/>
      <w:szCs w:val="48"/>
    </w:rPr>
  </w:style>
  <w:style w:type="character" w:styleId="675">
    <w:name w:val="Subtitle Char"/>
    <w:basedOn w:val="835"/>
    <w:link w:val="856"/>
    <w:uiPriority w:val="11"/>
    <w:pPr>
      <w:pBdr/>
      <w:spacing/>
      <w:ind/>
    </w:pPr>
    <w:rPr>
      <w:sz w:val="24"/>
      <w:szCs w:val="24"/>
    </w:rPr>
  </w:style>
  <w:style w:type="character" w:styleId="676">
    <w:name w:val="Quote Char"/>
    <w:link w:val="861"/>
    <w:uiPriority w:val="29"/>
    <w:pPr>
      <w:pBdr/>
      <w:spacing/>
      <w:ind/>
    </w:pPr>
    <w:rPr>
      <w:i/>
    </w:rPr>
  </w:style>
  <w:style w:type="character" w:styleId="677">
    <w:name w:val="Intense Quote Char"/>
    <w:link w:val="863"/>
    <w:uiPriority w:val="30"/>
    <w:pPr>
      <w:pBdr/>
      <w:spacing/>
      <w:ind/>
    </w:pPr>
    <w:rPr>
      <w:i/>
    </w:rPr>
  </w:style>
  <w:style w:type="paragraph" w:styleId="678">
    <w:name w:val="Header"/>
    <w:basedOn w:val="825"/>
    <w:link w:val="679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679">
    <w:name w:val="Header Char"/>
    <w:basedOn w:val="835"/>
    <w:link w:val="678"/>
    <w:uiPriority w:val="99"/>
    <w:pPr>
      <w:pBdr/>
      <w:spacing/>
      <w:ind/>
    </w:pPr>
  </w:style>
  <w:style w:type="paragraph" w:styleId="680">
    <w:name w:val="Footer"/>
    <w:basedOn w:val="825"/>
    <w:link w:val="682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681">
    <w:name w:val="Footer Char"/>
    <w:basedOn w:val="835"/>
    <w:link w:val="680"/>
    <w:uiPriority w:val="99"/>
    <w:pPr>
      <w:pBdr/>
      <w:spacing/>
      <w:ind/>
    </w:pPr>
  </w:style>
  <w:style w:type="character" w:styleId="682">
    <w:name w:val="Caption Char"/>
    <w:basedOn w:val="853"/>
    <w:link w:val="680"/>
    <w:uiPriority w:val="99"/>
    <w:pPr>
      <w:pBdr/>
      <w:spacing/>
      <w:ind/>
    </w:pPr>
  </w:style>
  <w:style w:type="table" w:styleId="683">
    <w:name w:val="Table Grid"/>
    <w:basedOn w:val="836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4">
    <w:name w:val="Table Grid Light"/>
    <w:basedOn w:val="836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5">
    <w:name w:val="Plain Table 1"/>
    <w:basedOn w:val="836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6">
    <w:name w:val="Plain Table 2"/>
    <w:basedOn w:val="836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7">
    <w:name w:val="Plain Table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8">
    <w:name w:val="Plain Table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9">
    <w:name w:val="Plain Table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0">
    <w:name w:val="Grid Table 1 Light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1">
    <w:name w:val="Grid Table 1 Light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2">
    <w:name w:val="Grid Table 1 Light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3">
    <w:name w:val="Grid Table 1 Light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4">
    <w:name w:val="Grid Table 1 Light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5">
    <w:name w:val="Grid Table 1 Light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6">
    <w:name w:val="Grid Table 1 Light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7">
    <w:name w:val="Grid Table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8">
    <w:name w:val="Grid Table 2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9">
    <w:name w:val="Grid Table 2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0">
    <w:name w:val="Grid Table 2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1">
    <w:name w:val="Grid Table 2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Grid Table 2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Grid Table 2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Grid Table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Grid Table 3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Grid Table 3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Grid Table 3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Grid Table 3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3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3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4"/>
    <w:basedOn w:val="83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4 - Accent 1"/>
    <w:basedOn w:val="83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1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1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4 - Accent 2"/>
    <w:basedOn w:val="83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4 - Accent 3"/>
    <w:basedOn w:val="83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4 - Accent 4"/>
    <w:basedOn w:val="83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4 - Accent 5"/>
    <w:basedOn w:val="83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4 - Accent 6"/>
    <w:basedOn w:val="83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5 Dark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5 Dark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dc5e0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dc5e0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5 Dark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1adac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1adac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5 Dark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dfb2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dfb2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5 Dark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4b7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4b7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5 Dark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bd9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bd9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5 Dark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d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d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6 Colorful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6 Colorful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6 Colorful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6 Colorful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6 Colorful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6 Colorful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6 Colorful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7 Colorful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7 Colorful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7 Colorful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7 Colorful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7 Colorful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7 Colorful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7 Colorful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List Table 1 Light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List Table 1 Light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List Table 1 Light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List Table 1 Light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List Table 1 Light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List Table 1 Light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List Table 1 Light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List Table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List Table 2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List Table 2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List Table 2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List Table 2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List Table 2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List Table 2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List Table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List Table 3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List Table 3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List Table 3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st Table 3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3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3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4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4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4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4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4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4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5 Dark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5 Dark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5 Dark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5 Dark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5 Dark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5 Dark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5 Dark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6 Colorful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6 Colorful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6 Colorful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6 Colorful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6 Colorful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6 Colorful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6 Colorful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7 Colorful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7 Colorful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7 Colorful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7 Colorful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7 Colorful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7 Colorful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7 Colorful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ned - Accent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ned - Accent 1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ned - Accent 2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ned - Accent 3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ned - Accent 4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ned - Accent 5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ned - Accent 6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Bordered &amp; Lined - Accent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Bordered &amp; Lined - Accent 1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Bordered &amp; Lined - Accent 2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Bordered &amp; Lined - Accent 3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Bordered &amp; Lined - Accent 4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Bordered &amp; Lined - Accent 5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Bordered &amp; Lined - Accent 6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Bordered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Bordered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Bordered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Bordered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Bordered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Bordered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Bordered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09">
    <w:name w:val="footnote text"/>
    <w:basedOn w:val="825"/>
    <w:link w:val="810"/>
    <w:uiPriority w:val="99"/>
    <w:semiHidden/>
    <w:unhideWhenUsed/>
    <w:pPr>
      <w:pBdr/>
      <w:spacing w:after="40" w:line="240" w:lineRule="auto"/>
      <w:ind/>
    </w:pPr>
    <w:rPr>
      <w:sz w:val="18"/>
    </w:rPr>
  </w:style>
  <w:style w:type="character" w:styleId="810">
    <w:name w:val="Footnote Text Char"/>
    <w:link w:val="809"/>
    <w:uiPriority w:val="99"/>
    <w:pPr>
      <w:pBdr/>
      <w:spacing/>
      <w:ind/>
    </w:pPr>
    <w:rPr>
      <w:sz w:val="18"/>
    </w:rPr>
  </w:style>
  <w:style w:type="character" w:styleId="811">
    <w:name w:val="footnote reference"/>
    <w:basedOn w:val="835"/>
    <w:uiPriority w:val="99"/>
    <w:unhideWhenUsed/>
    <w:pPr>
      <w:pBdr/>
      <w:spacing/>
      <w:ind/>
    </w:pPr>
    <w:rPr>
      <w:vertAlign w:val="superscript"/>
    </w:rPr>
  </w:style>
  <w:style w:type="paragraph" w:styleId="812">
    <w:name w:val="endnote text"/>
    <w:basedOn w:val="825"/>
    <w:link w:val="813"/>
    <w:uiPriority w:val="99"/>
    <w:semiHidden/>
    <w:unhideWhenUsed/>
    <w:pPr>
      <w:pBdr/>
      <w:spacing w:after="0" w:line="240" w:lineRule="auto"/>
      <w:ind/>
    </w:pPr>
    <w:rPr>
      <w:sz w:val="20"/>
    </w:rPr>
  </w:style>
  <w:style w:type="character" w:styleId="813">
    <w:name w:val="Endnote Text Char"/>
    <w:link w:val="812"/>
    <w:uiPriority w:val="99"/>
    <w:pPr>
      <w:pBdr/>
      <w:spacing/>
      <w:ind/>
    </w:pPr>
    <w:rPr>
      <w:sz w:val="20"/>
    </w:rPr>
  </w:style>
  <w:style w:type="character" w:styleId="814">
    <w:name w:val="endnote reference"/>
    <w:basedOn w:val="835"/>
    <w:uiPriority w:val="99"/>
    <w:semiHidden/>
    <w:unhideWhenUsed/>
    <w:pPr>
      <w:pBdr/>
      <w:spacing/>
      <w:ind/>
    </w:pPr>
    <w:rPr>
      <w:vertAlign w:val="superscript"/>
    </w:rPr>
  </w:style>
  <w:style w:type="paragraph" w:styleId="815">
    <w:name w:val="toc 1"/>
    <w:basedOn w:val="825"/>
    <w:next w:val="825"/>
    <w:uiPriority w:val="39"/>
    <w:unhideWhenUsed/>
    <w:pPr>
      <w:pBdr/>
      <w:spacing w:after="57"/>
      <w:ind w:right="0" w:firstLine="0" w:left="0"/>
    </w:pPr>
  </w:style>
  <w:style w:type="paragraph" w:styleId="816">
    <w:name w:val="toc 2"/>
    <w:basedOn w:val="825"/>
    <w:next w:val="825"/>
    <w:uiPriority w:val="39"/>
    <w:unhideWhenUsed/>
    <w:pPr>
      <w:pBdr/>
      <w:spacing w:after="57"/>
      <w:ind w:right="0" w:firstLine="0" w:left="283"/>
    </w:pPr>
  </w:style>
  <w:style w:type="paragraph" w:styleId="817">
    <w:name w:val="toc 3"/>
    <w:basedOn w:val="825"/>
    <w:next w:val="825"/>
    <w:uiPriority w:val="39"/>
    <w:unhideWhenUsed/>
    <w:pPr>
      <w:pBdr/>
      <w:spacing w:after="57"/>
      <w:ind w:right="0" w:firstLine="0" w:left="567"/>
    </w:pPr>
  </w:style>
  <w:style w:type="paragraph" w:styleId="818">
    <w:name w:val="toc 4"/>
    <w:basedOn w:val="825"/>
    <w:next w:val="825"/>
    <w:uiPriority w:val="39"/>
    <w:unhideWhenUsed/>
    <w:pPr>
      <w:pBdr/>
      <w:spacing w:after="57"/>
      <w:ind w:right="0" w:firstLine="0" w:left="850"/>
    </w:pPr>
  </w:style>
  <w:style w:type="paragraph" w:styleId="819">
    <w:name w:val="toc 5"/>
    <w:basedOn w:val="825"/>
    <w:next w:val="825"/>
    <w:uiPriority w:val="39"/>
    <w:unhideWhenUsed/>
    <w:pPr>
      <w:pBdr/>
      <w:spacing w:after="57"/>
      <w:ind w:right="0" w:firstLine="0" w:left="1134"/>
    </w:pPr>
  </w:style>
  <w:style w:type="paragraph" w:styleId="820">
    <w:name w:val="toc 6"/>
    <w:basedOn w:val="825"/>
    <w:next w:val="825"/>
    <w:uiPriority w:val="39"/>
    <w:unhideWhenUsed/>
    <w:pPr>
      <w:pBdr/>
      <w:spacing w:after="57"/>
      <w:ind w:right="0" w:firstLine="0" w:left="1417"/>
    </w:pPr>
  </w:style>
  <w:style w:type="paragraph" w:styleId="821">
    <w:name w:val="toc 7"/>
    <w:basedOn w:val="825"/>
    <w:next w:val="825"/>
    <w:uiPriority w:val="39"/>
    <w:unhideWhenUsed/>
    <w:pPr>
      <w:pBdr/>
      <w:spacing w:after="57"/>
      <w:ind w:right="0" w:firstLine="0" w:left="1701"/>
    </w:pPr>
  </w:style>
  <w:style w:type="paragraph" w:styleId="822">
    <w:name w:val="toc 8"/>
    <w:basedOn w:val="825"/>
    <w:next w:val="825"/>
    <w:uiPriority w:val="39"/>
    <w:unhideWhenUsed/>
    <w:pPr>
      <w:pBdr/>
      <w:spacing w:after="57"/>
      <w:ind w:right="0" w:firstLine="0" w:left="1984"/>
    </w:pPr>
  </w:style>
  <w:style w:type="paragraph" w:styleId="823">
    <w:name w:val="toc 9"/>
    <w:basedOn w:val="825"/>
    <w:next w:val="825"/>
    <w:uiPriority w:val="39"/>
    <w:unhideWhenUsed/>
    <w:pPr>
      <w:pBdr/>
      <w:spacing w:after="57"/>
      <w:ind w:right="0" w:firstLine="0" w:left="2268"/>
    </w:pPr>
  </w:style>
  <w:style w:type="paragraph" w:styleId="824">
    <w:name w:val="table of figures"/>
    <w:basedOn w:val="825"/>
    <w:next w:val="825"/>
    <w:uiPriority w:val="99"/>
    <w:unhideWhenUsed/>
    <w:pPr>
      <w:pBdr/>
      <w:spacing w:after="0" w:afterAutospacing="0"/>
      <w:ind/>
    </w:pPr>
  </w:style>
  <w:style w:type="paragraph" w:styleId="825" w:default="1">
    <w:name w:val="Normal"/>
    <w:qFormat/>
    <w:pPr>
      <w:pBdr/>
      <w:spacing w:after="120" w:line="240" w:lineRule="auto"/>
      <w:ind w:firstLine="397"/>
      <w:jc w:val="both"/>
    </w:pPr>
    <w:rPr>
      <w:rFonts w:ascii="Arial" w:hAnsi="Arial" w:cs="Arial" w:eastAsiaTheme="minorEastAsia"/>
      <w:sz w:val="24"/>
      <w:szCs w:val="24"/>
      <w:lang w:eastAsia="ru-RU"/>
    </w:rPr>
  </w:style>
  <w:style w:type="paragraph" w:styleId="826">
    <w:name w:val="Heading 1"/>
    <w:basedOn w:val="825"/>
    <w:next w:val="825"/>
    <w:link w:val="844"/>
    <w:uiPriority w:val="9"/>
    <w:qFormat/>
    <w:pPr>
      <w:keepNext w:val="true"/>
      <w:keepLines w:val="true"/>
      <w:pBdr/>
      <w:spacing w:after="0" w:before="480"/>
      <w:ind w:firstLine="0"/>
      <w:jc w:val="center"/>
      <w:outlineLvl w:val="0"/>
    </w:pPr>
    <w:rPr>
      <w:rFonts w:eastAsiaTheme="majorEastAsia" w:cstheme="majorBidi"/>
      <w:b/>
      <w:bCs/>
      <w:sz w:val="28"/>
      <w:szCs w:val="28"/>
      <w:lang w:eastAsia="en-US"/>
    </w:rPr>
  </w:style>
  <w:style w:type="paragraph" w:styleId="827">
    <w:name w:val="Heading 2"/>
    <w:basedOn w:val="825"/>
    <w:next w:val="825"/>
    <w:link w:val="845"/>
    <w:uiPriority w:val="9"/>
    <w:qFormat/>
    <w:pPr>
      <w:keepNext w:val="true"/>
      <w:keepLines w:val="true"/>
      <w:pBdr/>
      <w:spacing w:after="0" w:before="200"/>
      <w:ind w:firstLine="0"/>
      <w:jc w:val="center"/>
      <w:outlineLvl w:val="1"/>
    </w:pPr>
    <w:rPr>
      <w:rFonts w:eastAsiaTheme="majorEastAsia" w:cstheme="majorBidi"/>
      <w:b/>
      <w:bCs/>
      <w:szCs w:val="26"/>
      <w:lang w:eastAsia="en-US"/>
    </w:rPr>
  </w:style>
  <w:style w:type="paragraph" w:styleId="828">
    <w:name w:val="Heading 3"/>
    <w:basedOn w:val="825"/>
    <w:next w:val="825"/>
    <w:link w:val="846"/>
    <w:uiPriority w:val="9"/>
    <w:qFormat/>
    <w:pPr>
      <w:keepNext w:val="true"/>
      <w:keepLines w:val="true"/>
      <w:pBdr/>
      <w:spacing w:before="200"/>
      <w:ind/>
      <w:jc w:val="left"/>
      <w:outlineLvl w:val="2"/>
    </w:pPr>
    <w:rPr>
      <w:rFonts w:eastAsiaTheme="majorEastAsia" w:cstheme="majorBidi"/>
      <w:b/>
      <w:bCs/>
      <w:szCs w:val="22"/>
      <w:lang w:eastAsia="en-US"/>
    </w:rPr>
  </w:style>
  <w:style w:type="paragraph" w:styleId="829">
    <w:name w:val="Heading 4"/>
    <w:basedOn w:val="825"/>
    <w:next w:val="825"/>
    <w:link w:val="847"/>
    <w:uiPriority w:val="9"/>
    <w:qFormat/>
    <w:pPr>
      <w:keepNext w:val="true"/>
      <w:keepLines w:val="true"/>
      <w:pBdr/>
      <w:spacing w:after="0" w:before="200"/>
      <w:ind/>
      <w:jc w:val="left"/>
      <w:outlineLvl w:val="3"/>
    </w:pPr>
    <w:rPr>
      <w:rFonts w:eastAsiaTheme="majorEastAsia" w:cstheme="majorBidi"/>
      <w:b/>
      <w:bCs/>
      <w:i/>
      <w:iCs/>
      <w:szCs w:val="22"/>
      <w:lang w:eastAsia="en-US"/>
    </w:rPr>
  </w:style>
  <w:style w:type="paragraph" w:styleId="830">
    <w:name w:val="Heading 5"/>
    <w:basedOn w:val="825"/>
    <w:next w:val="825"/>
    <w:link w:val="848"/>
    <w:uiPriority w:val="9"/>
    <w:semiHidden/>
    <w:qFormat/>
    <w:pPr>
      <w:keepNext w:val="true"/>
      <w:keepLines w:val="true"/>
      <w:pBdr/>
      <w:spacing w:after="0" w:before="200"/>
      <w:ind/>
      <w:outlineLvl w:val="4"/>
    </w:pPr>
    <w:rPr>
      <w:rFonts w:asciiTheme="majorHAnsi" w:hAnsiTheme="majorHAnsi" w:eastAsiaTheme="majorEastAsia" w:cstheme="majorBidi"/>
      <w:color w:val="243f60" w:themeColor="accent1" w:themeShade="7F"/>
      <w:szCs w:val="22"/>
      <w:lang w:eastAsia="en-US"/>
    </w:rPr>
  </w:style>
  <w:style w:type="paragraph" w:styleId="831">
    <w:name w:val="Heading 6"/>
    <w:basedOn w:val="825"/>
    <w:next w:val="825"/>
    <w:link w:val="849"/>
    <w:uiPriority w:val="9"/>
    <w:semiHidden/>
    <w:qFormat/>
    <w:pPr>
      <w:keepNext w:val="true"/>
      <w:keepLines w:val="true"/>
      <w:pBdr/>
      <w:spacing w:after="0" w:before="200"/>
      <w:ind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  <w:szCs w:val="22"/>
      <w:lang w:eastAsia="en-US"/>
    </w:rPr>
  </w:style>
  <w:style w:type="paragraph" w:styleId="832">
    <w:name w:val="Heading 7"/>
    <w:basedOn w:val="825"/>
    <w:next w:val="825"/>
    <w:link w:val="850"/>
    <w:uiPriority w:val="9"/>
    <w:semiHidden/>
    <w:qFormat/>
    <w:pPr>
      <w:keepNext w:val="true"/>
      <w:keepLines w:val="true"/>
      <w:pBdr/>
      <w:spacing w:after="0" w:before="200"/>
      <w:ind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:szCs w:val="22"/>
      <w:lang w:eastAsia="en-US"/>
    </w:rPr>
  </w:style>
  <w:style w:type="paragraph" w:styleId="833">
    <w:name w:val="Heading 8"/>
    <w:basedOn w:val="825"/>
    <w:next w:val="825"/>
    <w:link w:val="851"/>
    <w:uiPriority w:val="9"/>
    <w:semiHidden/>
    <w:qFormat/>
    <w:pPr>
      <w:keepNext w:val="true"/>
      <w:keepLines w:val="true"/>
      <w:pBdr/>
      <w:spacing w:after="0" w:before="200"/>
      <w:ind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:lang w:eastAsia="en-US"/>
    </w:rPr>
  </w:style>
  <w:style w:type="paragraph" w:styleId="834">
    <w:name w:val="Heading 9"/>
    <w:basedOn w:val="825"/>
    <w:next w:val="825"/>
    <w:link w:val="852"/>
    <w:uiPriority w:val="9"/>
    <w:semiHidden/>
    <w:qFormat/>
    <w:pPr>
      <w:keepNext w:val="true"/>
      <w:keepLines w:val="true"/>
      <w:pBdr/>
      <w:spacing w:after="0" w:before="200"/>
      <w:ind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:lang w:eastAsia="en-US"/>
    </w:rPr>
  </w:style>
  <w:style w:type="character" w:styleId="835" w:default="1">
    <w:name w:val="Default Paragraph Font"/>
    <w:uiPriority w:val="1"/>
    <w:semiHidden/>
    <w:unhideWhenUsed/>
    <w:pPr>
      <w:pBdr/>
      <w:spacing/>
      <w:ind/>
    </w:pPr>
  </w:style>
  <w:style w:type="table" w:styleId="836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37" w:default="1">
    <w:name w:val="No List"/>
    <w:uiPriority w:val="99"/>
    <w:semiHidden/>
    <w:unhideWhenUsed/>
    <w:pPr>
      <w:pBdr/>
      <w:spacing/>
      <w:ind/>
    </w:pPr>
  </w:style>
  <w:style w:type="paragraph" w:styleId="838" w:customStyle="1">
    <w:name w:val="Реквизит"/>
    <w:basedOn w:val="825"/>
    <w:pPr>
      <w:pBdr/>
      <w:spacing w:after="240"/>
      <w:ind w:firstLine="0"/>
      <w:jc w:val="left"/>
    </w:pPr>
    <w:rPr>
      <w:rFonts w:eastAsiaTheme="minorHAnsi" w:cstheme="minorBidi"/>
      <w:szCs w:val="22"/>
      <w:lang w:eastAsia="en-US"/>
    </w:rPr>
  </w:style>
  <w:style w:type="paragraph" w:styleId="839">
    <w:name w:val="Title"/>
    <w:basedOn w:val="825"/>
    <w:link w:val="840"/>
    <w:uiPriority w:val="10"/>
    <w:qFormat/>
    <w:pPr>
      <w:pBdr/>
      <w:spacing w:after="480"/>
      <w:ind w:firstLine="0"/>
      <w:jc w:val="center"/>
    </w:pPr>
    <w:rPr>
      <w:rFonts w:cstheme="minorBidi"/>
      <w:b/>
      <w:bCs/>
      <w:spacing w:val="5"/>
      <w:sz w:val="28"/>
      <w:szCs w:val="28"/>
      <w:lang w:eastAsia="en-US"/>
    </w:rPr>
  </w:style>
  <w:style w:type="character" w:styleId="840" w:customStyle="1">
    <w:name w:val="Заголовок Знак"/>
    <w:basedOn w:val="835"/>
    <w:link w:val="839"/>
    <w:uiPriority w:val="10"/>
    <w:pPr>
      <w:pBdr/>
      <w:spacing/>
      <w:ind/>
    </w:pPr>
    <w:rPr>
      <w:rFonts w:ascii="Arial" w:hAnsi="Arial" w:eastAsiaTheme="minorEastAsia"/>
      <w:b/>
      <w:bCs/>
      <w:spacing w:val="5"/>
      <w:sz w:val="28"/>
      <w:szCs w:val="28"/>
    </w:rPr>
  </w:style>
  <w:style w:type="paragraph" w:styleId="841">
    <w:name w:val="Message Header"/>
    <w:basedOn w:val="825"/>
    <w:link w:val="842"/>
    <w:uiPriority w:val="99"/>
    <w:pPr>
      <w:pBdr/>
      <w:spacing w:after="480"/>
      <w:ind w:firstLine="0"/>
      <w:jc w:val="center"/>
    </w:pPr>
    <w:rPr>
      <w:rFonts w:eastAsiaTheme="majorEastAsia" w:cstheme="majorBidi"/>
      <w:b/>
      <w:sz w:val="32"/>
      <w:lang w:eastAsia="en-US"/>
    </w:rPr>
  </w:style>
  <w:style w:type="character" w:styleId="842" w:customStyle="1">
    <w:name w:val="Шапка Знак"/>
    <w:basedOn w:val="835"/>
    <w:link w:val="841"/>
    <w:uiPriority w:val="99"/>
    <w:pPr>
      <w:pBdr/>
      <w:spacing/>
      <w:ind/>
    </w:pPr>
    <w:rPr>
      <w:rFonts w:ascii="Arial" w:hAnsi="Arial" w:eastAsiaTheme="majorEastAsia" w:cstheme="majorBidi"/>
      <w:b/>
      <w:sz w:val="32"/>
      <w:szCs w:val="24"/>
    </w:rPr>
  </w:style>
  <w:style w:type="paragraph" w:styleId="843">
    <w:name w:val="No Spacing"/>
    <w:uiPriority w:val="1"/>
    <w:semiHidden/>
    <w:qFormat/>
    <w:pPr>
      <w:pBdr/>
      <w:spacing w:after="0" w:line="240" w:lineRule="auto"/>
      <w:ind/>
    </w:pPr>
    <w:rPr>
      <w:rFonts w:eastAsiaTheme="minorEastAsia"/>
    </w:rPr>
  </w:style>
  <w:style w:type="character" w:styleId="844" w:customStyle="1">
    <w:name w:val="Заголовок 1 Знак"/>
    <w:basedOn w:val="835"/>
    <w:link w:val="826"/>
    <w:uiPriority w:val="9"/>
    <w:pPr>
      <w:pBdr/>
      <w:spacing/>
      <w:ind/>
    </w:pPr>
    <w:rPr>
      <w:rFonts w:ascii="Arial" w:hAnsi="Arial" w:eastAsiaTheme="majorEastAsia" w:cstheme="majorBidi"/>
      <w:b/>
      <w:bCs/>
      <w:sz w:val="28"/>
      <w:szCs w:val="28"/>
    </w:rPr>
  </w:style>
  <w:style w:type="character" w:styleId="845" w:customStyle="1">
    <w:name w:val="Заголовок 2 Знак"/>
    <w:basedOn w:val="835"/>
    <w:link w:val="827"/>
    <w:uiPriority w:val="9"/>
    <w:pPr>
      <w:pBdr/>
      <w:spacing/>
      <w:ind/>
    </w:pPr>
    <w:rPr>
      <w:rFonts w:ascii="Arial" w:hAnsi="Arial" w:eastAsiaTheme="majorEastAsia" w:cstheme="majorBidi"/>
      <w:b/>
      <w:bCs/>
      <w:sz w:val="24"/>
      <w:szCs w:val="26"/>
    </w:rPr>
  </w:style>
  <w:style w:type="character" w:styleId="846" w:customStyle="1">
    <w:name w:val="Заголовок 3 Знак"/>
    <w:basedOn w:val="835"/>
    <w:link w:val="828"/>
    <w:uiPriority w:val="9"/>
    <w:pPr>
      <w:pBdr/>
      <w:spacing/>
      <w:ind/>
    </w:pPr>
    <w:rPr>
      <w:rFonts w:ascii="Arial" w:hAnsi="Arial" w:eastAsiaTheme="majorEastAsia" w:cstheme="majorBidi"/>
      <w:b/>
      <w:bCs/>
      <w:sz w:val="24"/>
    </w:rPr>
  </w:style>
  <w:style w:type="character" w:styleId="847" w:customStyle="1">
    <w:name w:val="Заголовок 4 Знак"/>
    <w:basedOn w:val="835"/>
    <w:link w:val="829"/>
    <w:uiPriority w:val="9"/>
    <w:pPr>
      <w:pBdr/>
      <w:spacing/>
      <w:ind/>
    </w:pPr>
    <w:rPr>
      <w:rFonts w:ascii="Arial" w:hAnsi="Arial" w:eastAsiaTheme="majorEastAsia" w:cstheme="majorBidi"/>
      <w:b/>
      <w:bCs/>
      <w:i/>
      <w:iCs/>
      <w:sz w:val="24"/>
    </w:rPr>
  </w:style>
  <w:style w:type="character" w:styleId="848" w:customStyle="1">
    <w:name w:val="Заголовок 5 Знак"/>
    <w:basedOn w:val="835"/>
    <w:link w:val="830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243f60" w:themeColor="accent1" w:themeShade="7F"/>
    </w:rPr>
  </w:style>
  <w:style w:type="character" w:styleId="849" w:customStyle="1">
    <w:name w:val="Заголовок 6 Знак"/>
    <w:basedOn w:val="835"/>
    <w:link w:val="831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850" w:customStyle="1">
    <w:name w:val="Заголовок 7 Знак"/>
    <w:basedOn w:val="835"/>
    <w:link w:val="832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851" w:customStyle="1">
    <w:name w:val="Заголовок 8 Знак"/>
    <w:basedOn w:val="835"/>
    <w:link w:val="833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852" w:customStyle="1">
    <w:name w:val="Заголовок 9 Знак"/>
    <w:basedOn w:val="835"/>
    <w:link w:val="834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853">
    <w:name w:val="Caption"/>
    <w:basedOn w:val="825"/>
    <w:next w:val="825"/>
    <w:uiPriority w:val="35"/>
    <w:semiHidden/>
    <w:qFormat/>
    <w:pPr>
      <w:pBdr/>
      <w:spacing/>
      <w:ind/>
    </w:pPr>
    <w:rPr>
      <w:rFonts w:eastAsiaTheme="minorHAnsi" w:cstheme="minorBidi"/>
      <w:b/>
      <w:bCs/>
      <w:color w:val="4f81bd" w:themeColor="accent1"/>
      <w:sz w:val="18"/>
      <w:szCs w:val="18"/>
      <w:lang w:eastAsia="en-US"/>
    </w:rPr>
  </w:style>
  <w:style w:type="paragraph" w:styleId="854">
    <w:name w:val="Signature"/>
    <w:basedOn w:val="825"/>
    <w:link w:val="855"/>
    <w:uiPriority w:val="99"/>
    <w:pPr>
      <w:pBdr/>
      <w:spacing w:after="0"/>
      <w:ind w:firstLine="0"/>
      <w:jc w:val="left"/>
    </w:pPr>
    <w:rPr>
      <w:rFonts w:eastAsiaTheme="minorHAnsi" w:cstheme="minorBidi"/>
      <w:b/>
      <w:szCs w:val="22"/>
      <w:lang w:eastAsia="en-US"/>
    </w:rPr>
  </w:style>
  <w:style w:type="character" w:styleId="855" w:customStyle="1">
    <w:name w:val="Подпись Знак"/>
    <w:basedOn w:val="835"/>
    <w:link w:val="854"/>
    <w:uiPriority w:val="99"/>
    <w:pPr>
      <w:pBdr/>
      <w:spacing/>
      <w:ind/>
    </w:pPr>
    <w:rPr>
      <w:rFonts w:ascii="Arial" w:hAnsi="Arial"/>
      <w:b/>
      <w:sz w:val="24"/>
    </w:rPr>
  </w:style>
  <w:style w:type="paragraph" w:styleId="856">
    <w:name w:val="Subtitle"/>
    <w:basedOn w:val="825"/>
    <w:next w:val="825"/>
    <w:link w:val="857"/>
    <w:uiPriority w:val="11"/>
    <w:semiHidden/>
    <w:qFormat/>
    <w:pPr>
      <w:numPr>
        <w:ilvl w:val="1"/>
      </w:numPr>
      <w:pBdr/>
      <w:spacing/>
      <w:ind w:firstLine="454"/>
    </w:pPr>
    <w:rPr>
      <w:rFonts w:asciiTheme="majorHAnsi" w:hAnsiTheme="majorHAnsi" w:eastAsiaTheme="majorEastAsia" w:cstheme="majorBidi"/>
      <w:i/>
      <w:iCs/>
      <w:color w:val="4f81bd" w:themeColor="accent1"/>
      <w:spacing w:val="15"/>
      <w:lang w:eastAsia="en-US"/>
    </w:rPr>
  </w:style>
  <w:style w:type="character" w:styleId="857" w:customStyle="1">
    <w:name w:val="Подзаголовок Знак"/>
    <w:basedOn w:val="835"/>
    <w:link w:val="856"/>
    <w:uiPriority w:val="11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858">
    <w:name w:val="Strong"/>
    <w:basedOn w:val="835"/>
    <w:uiPriority w:val="22"/>
    <w:semiHidden/>
    <w:qFormat/>
    <w:pPr>
      <w:pBdr/>
      <w:spacing/>
      <w:ind/>
    </w:pPr>
    <w:rPr>
      <w:b/>
      <w:bCs/>
    </w:rPr>
  </w:style>
  <w:style w:type="character" w:styleId="859">
    <w:name w:val="Emphasis"/>
    <w:basedOn w:val="835"/>
    <w:uiPriority w:val="20"/>
    <w:semiHidden/>
    <w:qFormat/>
    <w:pPr>
      <w:pBdr/>
      <w:spacing/>
      <w:ind/>
    </w:pPr>
    <w:rPr>
      <w:i/>
      <w:iCs/>
    </w:rPr>
  </w:style>
  <w:style w:type="paragraph" w:styleId="860">
    <w:name w:val="List Paragraph"/>
    <w:basedOn w:val="825"/>
    <w:uiPriority w:val="34"/>
    <w:semiHidden/>
    <w:qFormat/>
    <w:pPr>
      <w:pBdr/>
      <w:spacing/>
      <w:ind w:left="720"/>
      <w:contextualSpacing w:val="true"/>
    </w:pPr>
    <w:rPr>
      <w:rFonts w:eastAsiaTheme="minorHAnsi" w:cstheme="minorBidi"/>
      <w:szCs w:val="22"/>
      <w:lang w:eastAsia="en-US"/>
    </w:rPr>
  </w:style>
  <w:style w:type="paragraph" w:styleId="861">
    <w:name w:val="Quote"/>
    <w:basedOn w:val="825"/>
    <w:next w:val="825"/>
    <w:link w:val="862"/>
    <w:uiPriority w:val="29"/>
    <w:semiHidden/>
    <w:qFormat/>
    <w:pPr>
      <w:pBdr/>
      <w:spacing/>
      <w:ind/>
    </w:pPr>
    <w:rPr>
      <w:rFonts w:eastAsiaTheme="minorHAnsi" w:cstheme="minorBidi"/>
      <w:i/>
      <w:iCs/>
      <w:color w:val="000000" w:themeColor="text1"/>
      <w:szCs w:val="22"/>
      <w:lang w:eastAsia="en-US"/>
    </w:rPr>
  </w:style>
  <w:style w:type="character" w:styleId="862" w:customStyle="1">
    <w:name w:val="Цитата 2 Знак"/>
    <w:basedOn w:val="835"/>
    <w:link w:val="861"/>
    <w:uiPriority w:val="29"/>
    <w:semiHidden/>
    <w:pPr>
      <w:pBdr/>
      <w:spacing/>
      <w:ind/>
    </w:pPr>
    <w:rPr>
      <w:rFonts w:ascii="Arial" w:hAnsi="Arial" w:eastAsiaTheme="minorEastAsia"/>
      <w:i/>
      <w:iCs/>
      <w:color w:val="000000" w:themeColor="text1"/>
      <w:sz w:val="24"/>
    </w:rPr>
  </w:style>
  <w:style w:type="paragraph" w:styleId="863">
    <w:name w:val="Intense Quote"/>
    <w:basedOn w:val="825"/>
    <w:next w:val="825"/>
    <w:link w:val="864"/>
    <w:uiPriority w:val="30"/>
    <w:semiHidden/>
    <w:qFormat/>
    <w:pPr>
      <w:pBdr>
        <w:bottom w:val="single" w:color="4f81bd" w:themeColor="accent1" w:sz="4" w:space="4"/>
      </w:pBdr>
      <w:spacing w:after="280" w:before="200"/>
      <w:ind w:right="936" w:left="936"/>
    </w:pPr>
    <w:rPr>
      <w:rFonts w:eastAsiaTheme="minorHAnsi" w:cstheme="minorBidi"/>
      <w:b/>
      <w:bCs/>
      <w:i/>
      <w:iCs/>
      <w:color w:val="4f81bd" w:themeColor="accent1"/>
      <w:szCs w:val="22"/>
      <w:lang w:eastAsia="en-US"/>
    </w:rPr>
  </w:style>
  <w:style w:type="character" w:styleId="864" w:customStyle="1">
    <w:name w:val="Выделенная цитата Знак"/>
    <w:basedOn w:val="835"/>
    <w:link w:val="863"/>
    <w:uiPriority w:val="30"/>
    <w:semiHidden/>
    <w:pPr>
      <w:pBdr/>
      <w:spacing/>
      <w:ind/>
    </w:pPr>
    <w:rPr>
      <w:rFonts w:ascii="Arial" w:hAnsi="Arial" w:eastAsiaTheme="minorEastAsia"/>
      <w:b/>
      <w:bCs/>
      <w:i/>
      <w:iCs/>
      <w:color w:val="4f81bd" w:themeColor="accent1"/>
      <w:sz w:val="24"/>
    </w:rPr>
  </w:style>
  <w:style w:type="character" w:styleId="865">
    <w:name w:val="Subtle Emphasis"/>
    <w:basedOn w:val="835"/>
    <w:uiPriority w:val="19"/>
    <w:semiHidden/>
    <w:qFormat/>
    <w:pPr>
      <w:pBdr/>
      <w:spacing/>
      <w:ind/>
    </w:pPr>
    <w:rPr>
      <w:i/>
      <w:iCs/>
      <w:color w:val="808080" w:themeColor="text1" w:themeTint="7F"/>
    </w:rPr>
  </w:style>
  <w:style w:type="character" w:styleId="866">
    <w:name w:val="Intense Emphasis"/>
    <w:basedOn w:val="835"/>
    <w:uiPriority w:val="21"/>
    <w:semiHidden/>
    <w:qFormat/>
    <w:pPr>
      <w:pBdr/>
      <w:spacing/>
      <w:ind/>
    </w:pPr>
    <w:rPr>
      <w:b/>
      <w:bCs/>
      <w:i/>
      <w:iCs/>
      <w:color w:val="4f81bd" w:themeColor="accent1"/>
    </w:rPr>
  </w:style>
  <w:style w:type="character" w:styleId="867">
    <w:name w:val="Subtle Reference"/>
    <w:basedOn w:val="835"/>
    <w:uiPriority w:val="31"/>
    <w:semiHidden/>
    <w:qFormat/>
    <w:pPr>
      <w:pBdr/>
      <w:spacing/>
      <w:ind/>
    </w:pPr>
    <w:rPr>
      <w:smallCaps/>
      <w:color w:val="c0504d" w:themeColor="accent2"/>
      <w:u w:val="single"/>
    </w:rPr>
  </w:style>
  <w:style w:type="character" w:styleId="868">
    <w:name w:val="Intense Reference"/>
    <w:basedOn w:val="835"/>
    <w:uiPriority w:val="32"/>
    <w:semiHidden/>
    <w:qFormat/>
    <w:pPr>
      <w:pBdr/>
      <w:spacing/>
      <w:ind/>
    </w:pPr>
    <w:rPr>
      <w:b/>
      <w:bCs/>
      <w:smallCaps/>
      <w:color w:val="c0504d" w:themeColor="accent2"/>
      <w:spacing w:val="5"/>
      <w:u w:val="single"/>
    </w:rPr>
  </w:style>
  <w:style w:type="character" w:styleId="869">
    <w:name w:val="Book Title"/>
    <w:basedOn w:val="835"/>
    <w:uiPriority w:val="33"/>
    <w:semiHidden/>
    <w:qFormat/>
    <w:pPr>
      <w:pBdr/>
      <w:spacing/>
      <w:ind/>
    </w:pPr>
    <w:rPr>
      <w:b/>
      <w:bCs/>
      <w:smallCaps/>
      <w:spacing w:val="5"/>
    </w:rPr>
  </w:style>
  <w:style w:type="paragraph" w:styleId="870">
    <w:name w:val="TOC Heading"/>
    <w:basedOn w:val="826"/>
    <w:next w:val="825"/>
    <w:uiPriority w:val="39"/>
    <w:semiHidden/>
    <w:qFormat/>
    <w:pPr>
      <w:pBdr/>
      <w:spacing/>
      <w:ind/>
      <w:outlineLvl w:val="9"/>
    </w:pPr>
  </w:style>
  <w:style w:type="paragraph" w:styleId="871">
    <w:name w:val="Normal Indent"/>
    <w:basedOn w:val="825"/>
    <w:uiPriority w:val="99"/>
    <w:semiHidden/>
    <w:pPr>
      <w:pBdr/>
      <w:spacing/>
      <w:ind w:left="708"/>
    </w:pPr>
    <w:rPr>
      <w:rFonts w:eastAsiaTheme="minorHAnsi" w:cstheme="minorBidi"/>
      <w:szCs w:val="22"/>
      <w:lang w:eastAsia="en-US"/>
    </w:rPr>
  </w:style>
  <w:style w:type="paragraph" w:styleId="872">
    <w:name w:val="annotation text"/>
    <w:basedOn w:val="825"/>
    <w:link w:val="873"/>
    <w:uiPriority w:val="99"/>
    <w:pPr>
      <w:pBdr/>
      <w:spacing w:after="240" w:before="120"/>
      <w:ind w:firstLine="0"/>
      <w:jc w:val="left"/>
    </w:pPr>
    <w:rPr>
      <w:rFonts w:eastAsiaTheme="minorHAnsi" w:cstheme="minorBidi"/>
      <w:i/>
      <w:szCs w:val="20"/>
      <w:lang w:eastAsia="en-US"/>
    </w:rPr>
  </w:style>
  <w:style w:type="character" w:styleId="873" w:customStyle="1">
    <w:name w:val="Текст примечания Знак"/>
    <w:basedOn w:val="835"/>
    <w:link w:val="872"/>
    <w:uiPriority w:val="99"/>
    <w:pPr>
      <w:pBdr/>
      <w:spacing/>
      <w:ind/>
    </w:pPr>
    <w:rPr>
      <w:rFonts w:ascii="Arial" w:hAnsi="Arial"/>
      <w:i/>
      <w:sz w:val="24"/>
      <w:szCs w:val="20"/>
    </w:rPr>
  </w:style>
  <w:style w:type="paragraph" w:styleId="874" w:customStyle="1">
    <w:name w:val="Редакции"/>
    <w:basedOn w:val="825"/>
    <w:pPr>
      <w:pBdr/>
      <w:spacing w:after="240"/>
      <w:ind w:firstLine="0"/>
      <w:jc w:val="center"/>
    </w:pPr>
    <w:rPr>
      <w:i/>
      <w:iCs/>
    </w:rPr>
  </w:style>
  <w:style w:type="paragraph" w:styleId="875" w:customStyle="1">
    <w:name w:val="Таблица"/>
    <w:basedOn w:val="825"/>
    <w:qFormat/>
    <w:pPr>
      <w:pBdr/>
      <w:spacing/>
      <w:ind w:firstLine="0"/>
    </w:pPr>
    <w:rPr>
      <w:rFonts w:eastAsiaTheme="minorHAnsi" w:cstheme="minorBidi"/>
      <w:szCs w:val="22"/>
      <w:lang w:eastAsia="en-US"/>
    </w:rPr>
  </w:style>
  <w:style w:type="character" w:styleId="876">
    <w:name w:val="Hyperlink"/>
    <w:uiPriority w:val="99"/>
    <w:pPr>
      <w:pBdr/>
      <w:spacing/>
      <w:ind/>
    </w:pPr>
    <w:rPr>
      <w:color w:val="0000ff" w:themeColor="hyperlink"/>
      <w:u w:val="single"/>
    </w:rPr>
  </w:style>
  <w:style w:type="paragraph" w:styleId="877">
    <w:name w:val="Balloon Text"/>
    <w:basedOn w:val="825"/>
    <w:link w:val="878"/>
    <w:uiPriority w:val="99"/>
    <w:semiHidden/>
    <w:pPr>
      <w:pBdr/>
      <w:spacing w:after="0"/>
      <w:ind/>
    </w:pPr>
    <w:rPr>
      <w:rFonts w:ascii="Tahoma" w:hAnsi="Tahoma" w:cs="Tahoma"/>
      <w:sz w:val="16"/>
      <w:szCs w:val="16"/>
    </w:rPr>
  </w:style>
  <w:style w:type="character" w:styleId="878" w:customStyle="1">
    <w:name w:val="Текст выноски Знак"/>
    <w:basedOn w:val="835"/>
    <w:link w:val="877"/>
    <w:uiPriority w:val="99"/>
    <w:semiHidden/>
    <w:pPr>
      <w:pBdr/>
      <w:spacing/>
      <w:ind/>
    </w:pPr>
    <w:rPr>
      <w:rFonts w:ascii="Tahoma" w:hAnsi="Tahoma" w:cs="Tahoma" w:eastAsiaTheme="minorEastAsia"/>
      <w:sz w:val="16"/>
      <w:szCs w:val="16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Relationship Id="rId9" Type="http://schemas.openxmlformats.org/officeDocument/2006/relationships/hyperlink" Target="https://cbd.minjust.gov.kg/112424/edition/37202/ru#st_5" TargetMode="External"/><Relationship Id="rId10" Type="http://schemas.openxmlformats.org/officeDocument/2006/relationships/hyperlink" Target="https://cbd.minjust.gov.kg/112424/edition/37202/ru#st_9" TargetMode="External"/><Relationship Id="rId11" Type="http://schemas.openxmlformats.org/officeDocument/2006/relationships/hyperlink" Target="https://cbd.minjust.gov.kg/112424/edition/37202/ru#st_64" TargetMode="External"/><Relationship Id="rId12" Type="http://schemas.openxmlformats.org/officeDocument/2006/relationships/hyperlink" Target="https://cbd.minjust.gov.kg/46-3388/edition/934579/ru" TargetMode="External"/><Relationship Id="rId13" Type="http://schemas.openxmlformats.org/officeDocument/2006/relationships/hyperlink" Target="https://cbd.minjust.gov.kg/8-107/edition/934581/ru" TargetMode="External"/><Relationship Id="rId14" Type="http://schemas.openxmlformats.org/officeDocument/2006/relationships/hyperlink" Target="https://cbd.minjust.gov.kg/22-445/edition/1167311/ru" TargetMode="External"/><Relationship Id="rId15" Type="http://schemas.openxmlformats.org/officeDocument/2006/relationships/hyperlink" Target="https://cbd.minjust.gov.kg/8-412/edition/680721/ru" TargetMode="External"/><Relationship Id="rId16" Type="http://schemas.openxmlformats.org/officeDocument/2006/relationships/hyperlink" Target="https://cbd.minjust.gov.kg/8-107/edition/934581/ru" TargetMode="External"/><Relationship Id="rId17" Type="http://schemas.openxmlformats.org/officeDocument/2006/relationships/hyperlink" Target="https://cbd.minjust.gov.kg/46-3388/edition/934579/ru" TargetMode="External"/><Relationship Id="rId18" Type="http://schemas.openxmlformats.org/officeDocument/2006/relationships/hyperlink" Target="https://cbd.minjust.gov.kg/46-3388/edition/934579/ru" TargetMode="External"/><Relationship Id="rId19" Type="http://schemas.openxmlformats.org/officeDocument/2006/relationships/hyperlink" Target="https://cbd.minjust.gov.kg/8-107/edition/934581/ru" TargetMode="External"/><Relationship Id="rId20" Type="http://schemas.openxmlformats.org/officeDocument/2006/relationships/hyperlink" Target="https://cbd.minjust.gov.kg/46-3388/edition/934579/ru#r6" TargetMode="External"/><Relationship Id="rId21" Type="http://schemas.openxmlformats.org/officeDocument/2006/relationships/hyperlink" Target="https://cbd.minjust.gov.kg/46-3388/edition/934579/ru#r6" TargetMode="External"/><Relationship Id="rId22" Type="http://schemas.openxmlformats.org/officeDocument/2006/relationships/hyperlink" Target="https://cbd.minjust.gov.kg/8-412/edition/680721/ru" TargetMode="External"/><Relationship Id="rId23" Type="http://schemas.openxmlformats.org/officeDocument/2006/relationships/hyperlink" Target="https://cbd.minjust.gov.kg/22-445/edition/1167311/ru" TargetMode="External"/><Relationship Id="rId24" Type="http://schemas.openxmlformats.org/officeDocument/2006/relationships/hyperlink" Target="https://cbd.minjust.gov.kg/22-445/edition/1167311/ru" TargetMode="External"/><Relationship Id="rId25" Type="http://schemas.openxmlformats.org/officeDocument/2006/relationships/hyperlink" Target="https://cbd.minjust.gov.kg/8-412/edition/680721/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ONLYOFFICE/8.1.1.26</Application>
  <Company>Krokoz™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Аноним</cp:lastModifiedBy>
  <cp:revision>16</cp:revision>
  <dcterms:created xsi:type="dcterms:W3CDTF">2024-01-18T05:24:00Z</dcterms:created>
  <dcterms:modified xsi:type="dcterms:W3CDTF">2025-11-03T12:04:01Z</dcterms:modified>
</cp:coreProperties>
</file>