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5BA7C" w14:textId="77777777" w:rsidR="007C5CB5" w:rsidRDefault="007C5CB5">
      <w:pPr>
        <w:pStyle w:val="ad"/>
      </w:pPr>
      <w:r>
        <w:rPr>
          <w:noProof/>
        </w:rPr>
        <w:drawing>
          <wp:inline distT="0" distB="0" distL="0" distR="0" wp14:anchorId="4E06480D" wp14:editId="6206F78F">
            <wp:extent cx="1152525" cy="1152525"/>
            <wp:effectExtent l="0" t="0" r="9525" b="9525"/>
            <wp:docPr id="1" name="Рисунок 3" descr="Описание: C:\Users\User\AppData\Local\Temp\CdbDocEditor\fdd90359-7423-4f65-b761-affd2ff1d6e1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fdd90359-7423-4f65-b761-affd2ff1d6e1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BFFDD1" w14:textId="77777777" w:rsidR="007C5CB5" w:rsidRDefault="007C5CB5">
      <w:pPr>
        <w:pStyle w:val="ad"/>
      </w:pPr>
      <w:r>
        <w:t>НАЦИОНАЛЬНЫЙ БАНК КЫРГЫЗСКОЙ РЕСПУБЛИКИ</w:t>
      </w:r>
    </w:p>
    <w:p w14:paraId="2378FB71" w14:textId="77777777" w:rsidR="007C5CB5" w:rsidRDefault="007C5CB5">
      <w:pPr>
        <w:pStyle w:val="ad"/>
      </w:pPr>
      <w:r>
        <w:t>ПОСТАНОВЛЕНИЕ</w:t>
      </w:r>
    </w:p>
    <w:p w14:paraId="7352E096" w14:textId="77777777" w:rsidR="007C5CB5" w:rsidRDefault="007C5CB5">
      <w:pPr>
        <w:pStyle w:val="af8"/>
      </w:pPr>
      <w:r>
        <w:t>от 23 сентября 2009 года № 38/5</w:t>
      </w:r>
    </w:p>
    <w:p w14:paraId="4D7EBFB8" w14:textId="77777777" w:rsidR="007C5CB5" w:rsidRDefault="007C5CB5">
      <w:r>
        <w:t> </w:t>
      </w:r>
    </w:p>
    <w:p w14:paraId="128DDEF9" w14:textId="77777777" w:rsidR="007C5CB5" w:rsidRDefault="007C5CB5">
      <w:pPr>
        <w:pStyle w:val="a9"/>
      </w:pPr>
      <w:r>
        <w:t>О внесении изменений в постановление Правления Национального банка Кыргызской Республики от 29 декабря 2004 года № 36/13 "Об утверждении Инструкции "О порядке соблюдения лимитов открытой валютной позиции коммерческими банками на территории Кыргызской Республики", зарегистрированное в Министерстве юстиции Кыргызской Республики 1 февраля 2005 года, регистрационный номер 16-05</w:t>
      </w:r>
    </w:p>
    <w:p w14:paraId="67AFA3DD" w14:textId="77777777" w:rsidR="007C5CB5" w:rsidRDefault="007C5CB5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14:paraId="582E31F8" w14:textId="77777777" w:rsidR="007C5CB5" w:rsidRDefault="007C5CB5">
      <w:pPr>
        <w:jc w:val="center"/>
      </w:pPr>
      <w:r>
        <w:t>ПОСТАНОВЛЯЕТ:</w:t>
      </w:r>
    </w:p>
    <w:p w14:paraId="7F3FEB61" w14:textId="77777777" w:rsidR="007C5CB5" w:rsidRDefault="007C5CB5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29 декабря 2004 года № 36/13 "Об утверждении </w:t>
      </w:r>
      <w:hyperlink r:id="rId7" w:history="1">
        <w:r>
          <w:rPr>
            <w:rStyle w:val="a3"/>
          </w:rPr>
          <w:t>Инструкции</w:t>
        </w:r>
      </w:hyperlink>
      <w:r>
        <w:t xml:space="preserve"> "О порядке соблюдения лимитов открытой валютной позиции коммерческими банками на территории Кыргызской Республики", зарегистрированное в Министерстве юстиции Кыргызской Республики 1 февраля 2005 года, регистрационный номер 16-05, изменения согласно приложению к настоящему постановлению.</w:t>
      </w:r>
    </w:p>
    <w:p w14:paraId="5235E4D8" w14:textId="77777777" w:rsidR="007C5CB5" w:rsidRDefault="007C5CB5">
      <w:r>
        <w:t>2. Настоящее постановление вступает в силу по истечении одного месяца после официального опубликования.</w:t>
      </w:r>
    </w:p>
    <w:p w14:paraId="78990F01" w14:textId="77777777" w:rsidR="007C5CB5" w:rsidRDefault="007C5CB5">
      <w:r>
        <w:t>Опубликовано в журнале "Нормативные акты Национального банка Кыргызской Республики", № 2009/11</w:t>
      </w:r>
    </w:p>
    <w:p w14:paraId="22E17FB8" w14:textId="77777777" w:rsidR="007C5CB5" w:rsidRDefault="007C5CB5">
      <w:r>
        <w:t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14:paraId="3FED6E1D" w14:textId="77777777" w:rsidR="007C5CB5" w:rsidRDefault="007C5CB5">
      <w:r>
        <w:t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 w14:paraId="12A63830" w14:textId="77777777" w:rsidR="007C5CB5" w:rsidRDefault="007C5CB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01FD2043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64143" w14:textId="77777777" w:rsidR="007C5CB5" w:rsidRDefault="007C5CB5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2672F" w14:textId="77777777" w:rsidR="007C5CB5" w:rsidRDefault="007C5CB5">
            <w:pPr>
              <w:pStyle w:val="ab"/>
              <w:jc w:val="right"/>
            </w:pPr>
            <w:r>
              <w:t>М.Алапаев</w:t>
            </w:r>
          </w:p>
        </w:tc>
      </w:tr>
    </w:tbl>
    <w:p w14:paraId="66CB67EE" w14:textId="77777777" w:rsidR="007C5CB5" w:rsidRDefault="007C5CB5">
      <w:r>
        <w:t> </w:t>
      </w:r>
    </w:p>
    <w:p w14:paraId="245EFB25" w14:textId="77777777" w:rsidR="007C5CB5" w:rsidRDefault="007C5CB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0A5BF51E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57136" w14:textId="77777777" w:rsidR="007C5CB5" w:rsidRDefault="007C5CB5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51C5B" w14:textId="77777777" w:rsidR="007C5CB5" w:rsidRDefault="007C5CB5">
            <w:pPr>
              <w:ind w:firstLine="87"/>
            </w:pPr>
            <w:bookmarkStart w:id="0" w:name="P"/>
            <w:r>
              <w:t>Приложение</w:t>
            </w:r>
            <w:bookmarkEnd w:id="0"/>
          </w:p>
          <w:p w14:paraId="56FD8CB9" w14:textId="77777777" w:rsidR="007C5CB5" w:rsidRDefault="007C5CB5">
            <w:pPr>
              <w:ind w:firstLine="87"/>
            </w:pPr>
            <w:r>
              <w:t xml:space="preserve">к </w:t>
            </w:r>
            <w:hyperlink r:id="rId8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</w:p>
          <w:p w14:paraId="580C81DA" w14:textId="77777777" w:rsidR="007C5CB5" w:rsidRDefault="007C5CB5">
            <w:pPr>
              <w:ind w:firstLine="87"/>
            </w:pPr>
            <w:r>
              <w:t>Национального банка</w:t>
            </w:r>
          </w:p>
          <w:p w14:paraId="72DE7091" w14:textId="77777777" w:rsidR="007C5CB5" w:rsidRDefault="007C5CB5">
            <w:pPr>
              <w:ind w:firstLine="87"/>
            </w:pPr>
            <w:r>
              <w:t>Кыргызской Республики</w:t>
            </w:r>
          </w:p>
          <w:p w14:paraId="5A916BDA" w14:textId="77777777" w:rsidR="007C5CB5" w:rsidRDefault="007C5CB5">
            <w:pPr>
              <w:ind w:firstLine="87"/>
            </w:pPr>
            <w:r>
              <w:t>от 23 сентября 2009 года № 38/5</w:t>
            </w:r>
          </w:p>
          <w:p w14:paraId="17E369BB" w14:textId="77777777" w:rsidR="007C5CB5" w:rsidRDefault="007C5CB5">
            <w:r>
              <w:t> </w:t>
            </w:r>
          </w:p>
        </w:tc>
      </w:tr>
    </w:tbl>
    <w:p w14:paraId="04D72CA2" w14:textId="77777777" w:rsidR="007C5CB5" w:rsidRDefault="007C5CB5">
      <w:r>
        <w:t> </w:t>
      </w:r>
    </w:p>
    <w:p w14:paraId="4DD80730" w14:textId="77777777" w:rsidR="007C5CB5" w:rsidRDefault="007C5CB5">
      <w:r>
        <w:t> </w:t>
      </w:r>
    </w:p>
    <w:p w14:paraId="73988916" w14:textId="77777777" w:rsidR="007C5CB5" w:rsidRDefault="007C5CB5">
      <w:r>
        <w:t xml:space="preserve">Изменения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29 декабря 2004 года № 36/13 "Об утверждении Инструкции "О порядке соблюдения лимитов открытой валютной позиции коммерческими банками на территории Кыргызской Республики", зарегистрированное в Министерстве юстиции Кыргызской Республики 1 февраля 2005 года, регистрационный номер 16-05</w:t>
      </w:r>
    </w:p>
    <w:p w14:paraId="3DD00A3A" w14:textId="77777777" w:rsidR="007C5CB5" w:rsidRDefault="007C5CB5">
      <w:r>
        <w:t xml:space="preserve">Внести в </w:t>
      </w:r>
      <w:hyperlink r:id="rId10" w:history="1">
        <w:r>
          <w:rPr>
            <w:rStyle w:val="a3"/>
          </w:rPr>
          <w:t>"Инструкцию "</w:t>
        </w:r>
      </w:hyperlink>
      <w:r>
        <w:t>О порядке соблюдения лимитов открытой валютной позиции коммерческими банками на территории Кыргызской Республики", утвержденную постановлением Правления Национального банка Кыргызской Республики от 29 декабря 2004 года № 36/13 "Об утверждении Инструкции "О порядке соблюдения лимитов открытой валютной позиции коммерческими банками на территории Кыргызской Республики", зарегистрированным в Министерстве юстиции Кыргызской Республики 1 февраля 2005 года, регистрационный номер 16-05, следующие изменения:</w:t>
      </w:r>
    </w:p>
    <w:p w14:paraId="71252903" w14:textId="77777777" w:rsidR="007C5CB5" w:rsidRDefault="007C5CB5">
      <w:r>
        <w:t>- во втором абзаце преамбулы слова ", Расчетно-Сберегательную компанию" исключить;</w:t>
      </w:r>
    </w:p>
    <w:p w14:paraId="39A33F0B" w14:textId="77777777" w:rsidR="007C5CB5" w:rsidRDefault="007C5CB5">
      <w:r>
        <w:t>- во втором предложении второго абзаца пункта 2.2 раздела II слова ", включая начисленные процентные доходы/расходы в данной валюте" исключить;</w:t>
      </w:r>
    </w:p>
    <w:p w14:paraId="46B652A7" w14:textId="77777777" w:rsidR="007C5CB5" w:rsidRDefault="007C5CB5">
      <w:r>
        <w:t>- пятый абзац пункта 2.2 раздела II изложить в следующей редакции:</w:t>
      </w:r>
    </w:p>
    <w:p w14:paraId="5B8D9959" w14:textId="77777777" w:rsidR="007C5CB5" w:rsidRDefault="007C5CB5">
      <w:r>
        <w:t xml:space="preserve">"- Выпущенные или подтвержденные банком безотзывные гарантии, аккредитивы и подобные им финансовые инструменты, номинированные в иностранной валюте, за исключением гарантий, аккредитивов и подобных им финансовых инструментов, обеспеченных в той же валюте. В целях настоящей </w:t>
      </w:r>
      <w:hyperlink r:id="rId11" w:history="1">
        <w:r>
          <w:rPr>
            <w:rStyle w:val="a3"/>
          </w:rPr>
          <w:t>Инструкции</w:t>
        </w:r>
      </w:hyperlink>
      <w:r>
        <w:t>, под финансовыми инструментами подразумеваются вексельные поручительства (аваль), дорожные чеки и другие, принятые в международной практике условные обязательства банка. К финансовым инструментам не относятся кредитные линии.</w:t>
      </w:r>
    </w:p>
    <w:p w14:paraId="6240CC83" w14:textId="77777777" w:rsidR="007C5CB5" w:rsidRDefault="007C5CB5">
      <w:r>
        <w:t>При этом, указанные гарантии, аккредитивы и подобные им финансовые инструменты включаются в расчет чистой валютной позиции с момента представления бенефициаром (выгодоприобретателем) требования об оплате денежной суммы по обязательству или получения банком документально подтвержденной информации, свидетельствующей о высокой вероятности предъявления требования об оплате по указанным обязательствам. Например, письмо бенефициара о неисполнении (задержке исполнения) принципалом своих обязательств является основ</w:t>
      </w:r>
      <w:r>
        <w:t>анием для включения гарантии в расчет чистой валютной позиции.";</w:t>
      </w:r>
    </w:p>
    <w:p w14:paraId="6AF2ADFB" w14:textId="77777777" w:rsidR="007C5CB5" w:rsidRDefault="007C5CB5">
      <w:r>
        <w:t>- в пункте 4.1 раздела IV после слова "Приложению" дополнить цифру "1".</w:t>
      </w:r>
    </w:p>
    <w:p w14:paraId="7B0961B4" w14:textId="77777777" w:rsidR="007C5CB5" w:rsidRDefault="007C5CB5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975B555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62968" w14:textId="77777777" w:rsidR="007C5CB5" w:rsidRDefault="007C5CB5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F4DBA" w14:textId="77777777" w:rsidR="007C5CB5" w:rsidRDefault="007C5CB5">
            <w:pPr>
              <w:pStyle w:val="ab"/>
              <w:jc w:val="right"/>
            </w:pPr>
            <w:r>
              <w:t> </w:t>
            </w:r>
          </w:p>
        </w:tc>
      </w:tr>
    </w:tbl>
    <w:p w14:paraId="73BA52C5" w14:textId="77777777" w:rsidR="007C5CB5" w:rsidRDefault="007C5CB5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CB5"/>
    <w:rsid w:val="007C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FD0A87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124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12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095" TargetMode="External"/><Relationship Id="rId11" Type="http://schemas.openxmlformats.org/officeDocument/2006/relationships/hyperlink" Target="https://cbd.minjust.gov.kg/31124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1124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0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663</Words>
  <Characters>3783</Characters>
  <Application>Microsoft Office Word</Application>
  <DocSecurity>0</DocSecurity>
  <Lines>31</Lines>
  <Paragraphs>8</Paragraphs>
  <ScaleCrop>false</ScaleCrop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