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60"/>
        <w:ind/>
        <w:jc w:val="center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247775" cy="12573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7397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47774" cy="1257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8.25pt;height:99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0"/>
        <w:ind w:right="0" w:firstLine="0" w:left="0"/>
        <w:jc w:val="center"/>
        <w:rPr/>
      </w:pPr>
      <w:r>
        <w:rPr>
          <w:rFonts w:ascii="Arial" w:hAnsi="Arial" w:eastAsia="Arial" w:cs="Arial"/>
          <w:b/>
          <w:color w:val="000000"/>
          <w:sz w:val="32"/>
        </w:rPr>
        <w:t xml:space="preserve">ПОСТАНОВЛЕНИЕ ПРАВЛЕНИЯ НАЦИОНАЛЬНОГО БАНКА КЫРГЫЗСКОЙ РЕСПУБЛИКИ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0"/>
        <w:ind w:right="0" w:firstLine="0" w:left="0"/>
        <w:jc w:val="center"/>
        <w:rPr/>
      </w:pPr>
      <w:r>
        <w:rPr>
          <w:rFonts w:ascii="Arial" w:hAnsi="Arial" w:eastAsia="Arial" w:cs="Arial"/>
          <w:color w:val="000000"/>
          <w:sz w:val="24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0"/>
        <w:ind w:right="0" w:firstLine="0" w:left="0"/>
        <w:rPr/>
      </w:pPr>
      <w:r>
        <w:rPr>
          <w:rFonts w:ascii="Arial" w:hAnsi="Arial" w:eastAsia="Arial" w:cs="Arial"/>
          <w:i/>
          <w:color w:val="000000"/>
          <w:sz w:val="24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0"/>
        <w:ind w:right="0" w:firstLine="0" w:left="0"/>
        <w:rPr/>
      </w:pPr>
      <w:r>
        <w:rPr>
          <w:rFonts w:ascii="Arial" w:hAnsi="Arial" w:eastAsia="Arial" w:cs="Arial"/>
          <w:color w:val="000000"/>
          <w:sz w:val="24"/>
        </w:rPr>
        <w:t xml:space="preserve">от 2 апреля 2026 года № 2026-П-12/20-5-(НПА)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8"/>
          <w:szCs w:val="28"/>
          <w:highlight w:val="none"/>
        </w:rPr>
      </w:pP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со статьями </w:t>
      </w:r>
      <w:hyperlink r:id="rId9" w:tooltip="https://cbd.minjust.gov.kg/112424/edition/25872/ru#st_5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5</w:t>
        </w:r>
        <w:r>
          <w:rPr>
            <w:rStyle w:val="876"/>
            <w:rFonts w:ascii="Arial" w:hAnsi="Arial" w:eastAsia="Arial" w:cs="Arial"/>
            <w:sz w:val="24"/>
            <w:szCs w:val="24"/>
          </w:rPr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hyperlink r:id="rId10" w:tooltip="https://cbd.minjust.gov.kg/112424/edition/25872/ru#st_9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hyperlink r:id="rId11" w:tooltip="https://cbd.minjust.gov.kg/112424/edition/25872/ru#st_64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64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</w:t>
      </w:r>
      <w:hyperlink r:id="rId12" w:tooltip="http://212.42.109.12:8089/8.1.1-26/web-apps/apps/documenteditor/main/index.html?_dc=8.1.1-26&amp;lang=ru&amp;customer=ONLYOFFICE&amp;type=desktop&amp;frameEditorId=placeholder&amp;isForm=false&amp;parentOrigin=http://212.42.109.12:8085&amp;fileType=docx#pr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"Об утверждении </w:t>
      </w:r>
      <w:r>
        <w:rPr>
          <w:rFonts w:ascii="Arial" w:hAnsi="Arial" w:eastAsia="Arial" w:cs="Arial"/>
          <w:sz w:val="24"/>
          <w:szCs w:val="24"/>
        </w:rPr>
      </w:r>
      <w:hyperlink r:id="rId13" w:tooltip="https://cbd.minjust.gov.kg/302285/edition/1057622/ru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финансирования" </w:t>
      </w:r>
      <w:hyperlink r:id="rId14" w:tooltip="https://cbd.minjust.gov.kg/8-289/edition/569901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28 декабря 2009 года № 51/4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"О некоторых нормативных правовых актах Национального банка Кыргызской Республики" </w:t>
      </w:r>
      <w:hyperlink r:id="rId15" w:tooltip="https://cbd.minjust.gov.kg/8-291/edition/886067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28 декабря 2009 года № 51/6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"Об утверждении </w:t>
      </w:r>
      <w:hyperlink r:id="rId16" w:tooltip="https://cbd.minjust.gov.kg/302541/edition/1115208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 </w:t>
      </w:r>
      <w:r>
        <w:rPr>
          <w:rFonts w:ascii="Arial" w:hAnsi="Arial" w:eastAsia="Arial" w:cs="Arial"/>
          <w:sz w:val="24"/>
          <w:szCs w:val="24"/>
        </w:rPr>
      </w:r>
      <w:hyperlink r:id="rId17" w:tooltip="https://cbd.minjust.gov.kg/8-405/edition/1115198/ru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от 12 октября 2012 года № 40/1</w:t>
        </w:r>
        <w:r>
          <w:rPr>
            <w:rStyle w:val="876"/>
            <w:rFonts w:ascii="Arial" w:hAnsi="Arial" w:eastAsia="Arial" w:cs="Arial"/>
            <w:sz w:val="24"/>
            <w:szCs w:val="24"/>
          </w:rPr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"Об утверждении "</w:t>
      </w:r>
      <w:hyperlink r:id="rId18" w:tooltip="https://cbd.minjust.gov.kg/46-3571/edition/1085152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</w:t>
      </w:r>
      <w:hyperlink r:id="rId19" w:tooltip="https://cbd.minjust.gov.kg/8-455/edition/778027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25 сентября 2013 года № 35/13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"Об утверждении </w:t>
      </w:r>
      <w:hyperlink r:id="rId20" w:tooltip="https://cbd.minjust.gov.kg/22-456/edition/1167337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по работе с банковскими счетами, счетами по банковским вкладам (депозитам), открытыми в соответствии с исламскими принципами банковского дела и финансирования" </w:t>
      </w:r>
      <w:r>
        <w:rPr>
          <w:rFonts w:ascii="Arial" w:hAnsi="Arial" w:eastAsia="Arial" w:cs="Arial"/>
          <w:sz w:val="24"/>
          <w:szCs w:val="24"/>
        </w:rPr>
        <w:t xml:space="preserve">от 13 июня 2019 года № 2019-П-12/31-2-(НПА)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6) "Об утверждении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операциях коммерческих банков с драгоценными металлами, осуществляемых в соответствии с исламскими принципами банковского дела и финансирования" </w:t>
      </w:r>
      <w:r>
        <w:rPr>
          <w:rFonts w:ascii="Arial" w:hAnsi="Arial" w:eastAsia="Arial" w:cs="Arial"/>
          <w:sz w:val="24"/>
          <w:szCs w:val="24"/>
        </w:rPr>
        <w:t xml:space="preserve">от 15 ноября 2019 года № 2019-П-12/56-3-(НПА)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Юридическому управлению: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Настоящее постановление вступает в силу по истечении 15 (пятнадцати) дней со дня официального опубликования.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Управлению методологии надзора в течение 3 (трех) рабочих дней со дня официального опубликования настоящего постановления довести его до сведения коммерческих банков, микрофинансовых организаций, кредитных союзов, Объединения юридических лиц "Союз банко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 Кыргызстана", Объединения юридических лиц "Ассоциация Микрофинансовых Организаций", ОАО "Финансовая компания кредитных союзов" и Объединения юридических лиц "Национальная ассоциация кредитных союзов и кооперативов".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Отделу "Секретариат Правления" в течение 3 (трех) рабочих дней со дня принятия настоящего постановления довести его до сведения структурных подразделений, областных управлений и Представительства Национального банка Кыргызской Республики в Баткенской об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ласти.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56"/>
        <w:gridCol w:w="2814"/>
        <w:gridCol w:w="328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Председатель Национального банка Кыргызской Республики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5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right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А. Бакетаев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Приложение</w:t>
              <w:br/>
              <w:t xml:space="preserve">к постановлению Правления Национального банка Кыргызской Республики</w:t>
              <w:br/>
              <w:t xml:space="preserve">от 2 апреля 2026 года № 2026-П-12/20-5-(НПА)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ИЗМЕНЕНИЯ</w:t>
        <w:br/>
        <w:t xml:space="preserve">в некоторые нормативные правовые акты Национального банка Кыргызской Республики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в </w:t>
      </w:r>
      <w:hyperlink r:id="rId21" w:tooltip="https://cbd.minjust.gov.kg/8-289/edition/569901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22" w:tooltip="https://cbd.minjust.gov.kg/302285/edition/1057622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финансирования" от 28 декабря 2009 года № 51/4 следующие изменения: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23" w:tooltip="https://cbd.minjust.gov.kg/302285/edition/1057622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финансирования, утвержденной вышеуказанным </w:t>
      </w:r>
      <w:hyperlink r:id="rId24" w:tooltip="https://cbd.minjust.gov.kg/8-289/edition/569901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подпункт 3 пункта 17 дополнить абзацем третьим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"При этом другие инструменты капитала могут быть включены в состав дополнительного капитала первого уровня с разрешения Национального банка по письменному заявлению Совета директоров банка.";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пункт 24 дополнить абзацем тринадцатым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"и) активы или их часть, обеспеченные гарантиями международных финансовых организаций, имеющих долгосрочный суверенный кредитный рейтинг не ниже уровня "ААА", который присвоен рейтинговым агентством Standard &amp; Poor's, или равнозначный рейтинг, который прис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от 14 декабря 2022 года № 2022-П-12/78-7-(НПА).".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Внести в </w:t>
      </w:r>
      <w:hyperlink r:id="rId25" w:tooltip="https://cbd.minjust.gov.kg/8-291/edition/886067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следующее изменение: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r>
        <w:rPr>
          <w:rFonts w:ascii="Arial" w:hAnsi="Arial" w:eastAsia="Arial" w:cs="Arial"/>
          <w:sz w:val="24"/>
          <w:szCs w:val="24"/>
        </w:rPr>
        <w:t xml:space="preserve">Положении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утвержденном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42 дополнить абзацем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"Банк вправе классифицировать забалансовые обязательства в категории "нормальные", по которым банк имеет право безусловного отзыва/аннулирования в любое время без предварительного уведомления клиента.".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Внести в </w:t>
      </w:r>
      <w:hyperlink r:id="rId26" w:tooltip="https://cbd.minjust.gov.kg/8-291/edition/886067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27" w:tooltip="https://cbd.minjust.gov.kg/302541/edition/1115208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 от 12 октября 2012 года № 40/1 следующие изменения: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28" w:tooltip="https://cbd.minjust.gov.kg/302541/edition/1115208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финансирования", утвержденной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9: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подпункт 2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"2) Требования или забалансовые обязательства, принятые банком, по которым имеется государственная гарантия или поручительство, выданное по решению Кабинета Министров Кыргызской Республики субъекту национальной экономики, в том числе в целях содействия в 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беспечении национальной и продовольственной безопасности страны.";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абзац второй подпункта 3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"Требования, указанные в пунктах 8 и 9 настоящей Инструкции, и гарантии/поручительства, выданные по решению Кабинета Министров Кыргызской Республики, должны быть оформлены соответствующим образом, включая подтверждение отражения их в бюджете Кыргызской Рес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публики в соответствии с законодательством Кыргызской Республики. При этом общая сумма гарантий/поручительств, выданных по решению Кабинета Министров Кыргызской Республики, не должна превышать 60% размера чистого суммарного капитала банка.".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Внести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"</w:t>
      </w:r>
      <w:r>
        <w:rPr>
          <w:rFonts w:ascii="Arial" w:hAnsi="Arial" w:eastAsia="Arial" w:cs="Arial"/>
          <w:sz w:val="24"/>
          <w:szCs w:val="24"/>
        </w:rPr>
      </w:r>
      <w:hyperlink r:id="rId29" w:tooltip="https://cbd.minjust.gov.kg/46-3571/edition/1085152/ru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Положения</w:t>
        </w:r>
        <w:r>
          <w:rPr>
            <w:rStyle w:val="876"/>
            <w:rFonts w:ascii="Arial" w:hAnsi="Arial" w:eastAsia="Arial" w:cs="Arial"/>
            <w:sz w:val="24"/>
            <w:szCs w:val="24"/>
          </w:rPr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 следующие изменения: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"</w:t>
      </w:r>
      <w:hyperlink r:id="rId30" w:tooltip="https://cbd.minjust.gov.kg/46-3571/edition/1085152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финансирования", утвержденном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в абзаце двадцать девятом пункта 12 цифру "250000" заменить цифрой "300000";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в абзаце десятом пункта 29 слово "в лице" заменить словами ", определенного решением";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абзац третий пункта 68-1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не реже одного раза в год для остальных активов, за исключением активов до 500000 сомов, по которым в течение последнего календарного года не допускались нарушения условий договора и/или не проводились реструктуризации. По активам до 500000 сомов, по ко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торым в течение последнего календарного года не допускались нарушения условий договора и/или не проводились реструктуризации, проводится платежный мониторинг, предполагающий анализ на основе произведенных платежей по активу.";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абзац одиннадцатый пункта 70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оценке целевого использования актива, несущего в себе кредитный риск, которая подтверждена документами (договоры, акты приемки, счета-фактуры, накладные и т.п.) при их наличии, в зависимости от целей финансирования, за исключением актива в размере не бо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лее 300000 сомов и актива в размере не более 500000 сомов при перечислении денежных средств банком в безналичной форме на счет продавца/поставщика товаров и/или услуг.";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пункт 73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"73. С целью постоянного контроля за сохранностью заложенного имущества и выявления возможных изменений его текущей стоимости банк должен проводить мониторинг залога, в том числе путем посещения места его хранения и местонахождения и/или путем использовани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я видео- и фотосъемки, позволяющих осуществить проверку залога в режиме реального времени. При этом банк должен обеспечить хранение отчета о мониторинге, проведенном, в том числе, через видео- и фотосъемку, в соответствии с установленными сроками хранения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досье клиента.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Периодичность и способы мониторинга залога определяются банком самостоятельно в соответствии с политикой финансирования/залоговой политикой и зависит от качества актива и других факторов, включая вид залога с учетом риска потери. Мониторинг залога в виде д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вижимого имущества должен проводиться по активу, сумма которого менее 300000 сомов, не реже одного раза в год.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 активу, несущему в себе кредитный риск, сумма которого составляет 300000 и более сомов, мониторинг залога в виде движимого имущества должен проводиться: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не реже одного раза в полгода, если актив обеспечен на 30 и более процентов движимым имуществом;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не реже одного раза в год, если актив обеспечен менее чем на 30 процентов движимым имуществом.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Обязательным условием должно быть обеспечение банком контроля за сохранностью заложенного имущества. При этом особое внимание необходимо обратить на следующие моменты: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снизилась ли рыночная стоимость обеспечения;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имеются ли какие-либо факторы, снизившие ликвидность залога со времени последней проверки;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обеспечивается ли сохранность залога.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Все эти меры помогут банку в выявлении возможных тенденций ухудшения состояния клиента/партнера, а, следовательно, и актива, несущего в себе кредитный риск. Чем быстрее будут выявлены и определены эти тенденции, тем оперативнее банк сможет принять необходи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мые меры по исправлению ситуации и обеспечить защиту своих интересов.";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6) в </w:t>
      </w:r>
      <w:r>
        <w:rPr>
          <w:rFonts w:ascii="Arial" w:hAnsi="Arial" w:eastAsia="Arial" w:cs="Arial"/>
          <w:sz w:val="24"/>
          <w:szCs w:val="24"/>
        </w:rPr>
        <w:t xml:space="preserve">Приложении 1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 дополнить абзацем восемнадцатым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согласие супруга/супруги клиента на получение финансирования (по финансированию свыше 300000 сомов на одного заемщика и при получении финансирования, при наличии действующих кредитов/финансирования);";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19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"19. Отчет о целевом использовании финансирования, подтвержденный документами (договоры, акты приемки, счета-фактуры, накладные и т.п.) при их наличии, в зависимости от целей финансирования, за исключением финансирования в размере не более 300000 сомов и ф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инансирования в размере не более 500000 сомов при перечислении денежных средств банком в безналичной форме на счет продавца/поставщика товаров и/или услуг.".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Внести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31" w:tooltip="https://cbd.minjust.gov.kg/22-456/edition/1167337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по работе с банковскими счетами, счетами по банковским вкладам (депозитам), открытыми в соответствии с исламскими принципами банковского дела и финансирования" от 13 июня 2019 года № 2019-П-12/31-2-(НПА) следующие изменения: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32" w:tooltip="https://cbd.minjust.gov.kg/22-456/edition/1167337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по работе с банковскими счетами, счетами по банковским вкладам (депозитам), открытыми в соответствии с исламскими принципами банковского дела и финансирования, утвержденной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пункт 9 дополнить абзацем двенадцатым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"Эскроу-счет по виртуальным активам - специальный счет, открываемый на основе трехстороннего договора, который заключен между поставщиком услуг виртуальных активов, клиентом и банком, предназначенный для учета и блокирования денежных средств до наступления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обстоятельств либо выполнения обязательств, предусмотренных договором, после чего банк осуществляет перечисление денежных средств продавцу виртуальных активов. При этом виртуальные активы понимаются в значении </w:t>
      </w:r>
      <w:hyperlink r:id="rId33" w:tooltip="https://cbd.minjust.gov.kg/4-3134/edition/45021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Закона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Кыргызской Республики "О виртуальных активах", а операции банка совершаются в пределах услуг с виртуальными активами в соответствии с </w:t>
      </w:r>
      <w:r>
        <w:rPr>
          <w:rFonts w:ascii="Arial" w:hAnsi="Arial" w:eastAsia="Arial" w:cs="Arial"/>
          <w:sz w:val="24"/>
          <w:szCs w:val="24"/>
        </w:rPr>
        <w:t xml:space="preserve">Порядком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предоставления услуг, связанных с виртуальными активами, утвержденным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3 февраля 2023 года № 2023-П-14/8-2-(НПА).";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абзац второй пункта 13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"К специальным счетам могут относиться эскроу-счет, целевой рекультивационный счет, депозит нотариуса, эскроу-счет по виртуальным активам".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Внести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операциях коммерческих банков с драгоценными металлами, осуществляемых в соответствии с исламскими принципами банковского дела и финансирования" от 15 ноября 2019 года № 2019-П-12/56-3-(НПА) следующее изменение: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r>
        <w:rPr>
          <w:rFonts w:ascii="Arial" w:hAnsi="Arial" w:eastAsia="Arial" w:cs="Arial"/>
          <w:sz w:val="24"/>
          <w:szCs w:val="24"/>
        </w:rPr>
        <w:t xml:space="preserve">Положении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операциях коммерческих банков с драгоценными металлами, осуществляемых в соответствии с исламскими принципами банковского дела и финансирования", утвержденном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15 дополнить абзацем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"Из расчета максимального объема активов в драгоценных металлах и суммы средств на осуществление операций с драгоценными металлами исключаются активы и средства в драгоценных металлах в рамках оказания финансовых услуг, связанных с первичным размещением ви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ртуальных активов эмитента в соответствии с </w:t>
      </w:r>
      <w:hyperlink r:id="rId34" w:tooltip="https://cbd.minjust.gov.kg/4-3134/edition/45021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Кыргызской Республики "О виртуальных активах".".</w:t>
      </w:r>
      <w:r>
        <w:rPr>
          <w:sz w:val="24"/>
          <w:szCs w:val="24"/>
        </w:rPr>
      </w:r>
    </w:p>
    <w:p>
      <w:pPr>
        <w:pBdr/>
        <w:spacing w:after="360"/>
        <w:ind/>
        <w:jc w:val="center"/>
        <w:rPr/>
      </w:pP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87">
    <w:name w:val="FollowedHyperlink"/>
    <w:basedOn w:val="83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65">
    <w:name w:val="Heading 1 Char"/>
    <w:basedOn w:val="835"/>
    <w:link w:val="826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66">
    <w:name w:val="Heading 2 Char"/>
    <w:basedOn w:val="835"/>
    <w:link w:val="827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67">
    <w:name w:val="Heading 3 Char"/>
    <w:basedOn w:val="835"/>
    <w:link w:val="82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68">
    <w:name w:val="Heading 4 Char"/>
    <w:basedOn w:val="835"/>
    <w:link w:val="82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5 Char"/>
    <w:basedOn w:val="835"/>
    <w:link w:val="830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6 Char"/>
    <w:basedOn w:val="835"/>
    <w:link w:val="831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7 Char"/>
    <w:basedOn w:val="835"/>
    <w:link w:val="83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8 Char"/>
    <w:basedOn w:val="835"/>
    <w:link w:val="83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9 Char"/>
    <w:basedOn w:val="835"/>
    <w:link w:val="83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Title Char"/>
    <w:basedOn w:val="835"/>
    <w:link w:val="839"/>
    <w:uiPriority w:val="10"/>
    <w:pPr>
      <w:pBdr/>
      <w:spacing/>
      <w:ind/>
    </w:pPr>
    <w:rPr>
      <w:sz w:val="48"/>
      <w:szCs w:val="48"/>
    </w:rPr>
  </w:style>
  <w:style w:type="character" w:styleId="675">
    <w:name w:val="Subtitle Char"/>
    <w:basedOn w:val="835"/>
    <w:link w:val="856"/>
    <w:uiPriority w:val="11"/>
    <w:pPr>
      <w:pBdr/>
      <w:spacing/>
      <w:ind/>
    </w:pPr>
    <w:rPr>
      <w:sz w:val="24"/>
      <w:szCs w:val="24"/>
    </w:rPr>
  </w:style>
  <w:style w:type="character" w:styleId="676">
    <w:name w:val="Quote Char"/>
    <w:link w:val="861"/>
    <w:uiPriority w:val="29"/>
    <w:pPr>
      <w:pBdr/>
      <w:spacing/>
      <w:ind/>
    </w:pPr>
    <w:rPr>
      <w:i/>
    </w:rPr>
  </w:style>
  <w:style w:type="character" w:styleId="677">
    <w:name w:val="Intense Quote Char"/>
    <w:link w:val="863"/>
    <w:uiPriority w:val="30"/>
    <w:pPr>
      <w:pBdr/>
      <w:spacing/>
      <w:ind/>
    </w:pPr>
    <w:rPr>
      <w:i/>
    </w:rPr>
  </w:style>
  <w:style w:type="paragraph" w:styleId="678">
    <w:name w:val="Header"/>
    <w:basedOn w:val="825"/>
    <w:link w:val="679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79">
    <w:name w:val="Header Char"/>
    <w:basedOn w:val="835"/>
    <w:link w:val="678"/>
    <w:uiPriority w:val="99"/>
    <w:pPr>
      <w:pBdr/>
      <w:spacing/>
      <w:ind/>
    </w:pPr>
  </w:style>
  <w:style w:type="paragraph" w:styleId="680">
    <w:name w:val="Footer"/>
    <w:basedOn w:val="825"/>
    <w:link w:val="68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Footer Char"/>
    <w:basedOn w:val="835"/>
    <w:link w:val="680"/>
    <w:uiPriority w:val="99"/>
    <w:pPr>
      <w:pBdr/>
      <w:spacing/>
      <w:ind/>
    </w:pPr>
  </w:style>
  <w:style w:type="character" w:styleId="682">
    <w:name w:val="Caption Char"/>
    <w:basedOn w:val="853"/>
    <w:link w:val="680"/>
    <w:uiPriority w:val="99"/>
    <w:pPr>
      <w:pBdr/>
      <w:spacing/>
      <w:ind/>
    </w:pPr>
  </w:style>
  <w:style w:type="table" w:styleId="683">
    <w:name w:val="Table Grid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>
    <w:name w:val="Table Grid Light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Plain Table 1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Plain Table 2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Plain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Grid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Grid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4 - Accent 1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4 - Accent 2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 - Accent 3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5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6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5 Dark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List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List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4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4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5 Dark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Bordered &amp; 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Bordered &amp; 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Bordered &amp; 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9">
    <w:name w:val="footnote text"/>
    <w:basedOn w:val="825"/>
    <w:link w:val="810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0">
    <w:name w:val="Footnote Text Char"/>
    <w:link w:val="809"/>
    <w:uiPriority w:val="99"/>
    <w:pPr>
      <w:pBdr/>
      <w:spacing/>
      <w:ind/>
    </w:pPr>
    <w:rPr>
      <w:sz w:val="18"/>
    </w:rPr>
  </w:style>
  <w:style w:type="character" w:styleId="811">
    <w:name w:val="footnote reference"/>
    <w:basedOn w:val="835"/>
    <w:uiPriority w:val="99"/>
    <w:unhideWhenUsed/>
    <w:pPr>
      <w:pBdr/>
      <w:spacing/>
      <w:ind/>
    </w:pPr>
    <w:rPr>
      <w:vertAlign w:val="superscript"/>
    </w:rPr>
  </w:style>
  <w:style w:type="paragraph" w:styleId="812">
    <w:name w:val="endnote text"/>
    <w:basedOn w:val="825"/>
    <w:link w:val="813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3">
    <w:name w:val="Endnote Text Char"/>
    <w:link w:val="812"/>
    <w:uiPriority w:val="99"/>
    <w:pPr>
      <w:pBdr/>
      <w:spacing/>
      <w:ind/>
    </w:pPr>
    <w:rPr>
      <w:sz w:val="20"/>
    </w:rPr>
  </w:style>
  <w:style w:type="character" w:styleId="814">
    <w:name w:val="endnote reference"/>
    <w:basedOn w:val="835"/>
    <w:uiPriority w:val="99"/>
    <w:semiHidden/>
    <w:unhideWhenUsed/>
    <w:pPr>
      <w:pBdr/>
      <w:spacing/>
      <w:ind/>
    </w:pPr>
    <w:rPr>
      <w:vertAlign w:val="superscript"/>
    </w:rPr>
  </w:style>
  <w:style w:type="paragraph" w:styleId="815">
    <w:name w:val="toc 1"/>
    <w:basedOn w:val="825"/>
    <w:next w:val="825"/>
    <w:uiPriority w:val="39"/>
    <w:unhideWhenUsed/>
    <w:pPr>
      <w:pBdr/>
      <w:spacing w:after="57"/>
      <w:ind w:right="0" w:firstLine="0" w:left="0"/>
    </w:pPr>
  </w:style>
  <w:style w:type="paragraph" w:styleId="816">
    <w:name w:val="toc 2"/>
    <w:basedOn w:val="825"/>
    <w:next w:val="825"/>
    <w:uiPriority w:val="39"/>
    <w:unhideWhenUsed/>
    <w:pPr>
      <w:pBdr/>
      <w:spacing w:after="57"/>
      <w:ind w:right="0" w:firstLine="0" w:left="283"/>
    </w:pPr>
  </w:style>
  <w:style w:type="paragraph" w:styleId="817">
    <w:name w:val="toc 3"/>
    <w:basedOn w:val="825"/>
    <w:next w:val="825"/>
    <w:uiPriority w:val="39"/>
    <w:unhideWhenUsed/>
    <w:pPr>
      <w:pBdr/>
      <w:spacing w:after="57"/>
      <w:ind w:right="0" w:firstLine="0" w:left="567"/>
    </w:pPr>
  </w:style>
  <w:style w:type="paragraph" w:styleId="818">
    <w:name w:val="toc 4"/>
    <w:basedOn w:val="825"/>
    <w:next w:val="825"/>
    <w:uiPriority w:val="39"/>
    <w:unhideWhenUsed/>
    <w:pPr>
      <w:pBdr/>
      <w:spacing w:after="57"/>
      <w:ind w:right="0" w:firstLine="0" w:left="850"/>
    </w:pPr>
  </w:style>
  <w:style w:type="paragraph" w:styleId="819">
    <w:name w:val="toc 5"/>
    <w:basedOn w:val="825"/>
    <w:next w:val="825"/>
    <w:uiPriority w:val="39"/>
    <w:unhideWhenUsed/>
    <w:pPr>
      <w:pBdr/>
      <w:spacing w:after="57"/>
      <w:ind w:right="0" w:firstLine="0" w:left="1134"/>
    </w:pPr>
  </w:style>
  <w:style w:type="paragraph" w:styleId="820">
    <w:name w:val="toc 6"/>
    <w:basedOn w:val="825"/>
    <w:next w:val="825"/>
    <w:uiPriority w:val="39"/>
    <w:unhideWhenUsed/>
    <w:pPr>
      <w:pBdr/>
      <w:spacing w:after="57"/>
      <w:ind w:right="0" w:firstLine="0" w:left="1417"/>
    </w:pPr>
  </w:style>
  <w:style w:type="paragraph" w:styleId="821">
    <w:name w:val="toc 7"/>
    <w:basedOn w:val="825"/>
    <w:next w:val="825"/>
    <w:uiPriority w:val="39"/>
    <w:unhideWhenUsed/>
    <w:pPr>
      <w:pBdr/>
      <w:spacing w:after="57"/>
      <w:ind w:right="0" w:firstLine="0" w:left="1701"/>
    </w:pPr>
  </w:style>
  <w:style w:type="paragraph" w:styleId="822">
    <w:name w:val="toc 8"/>
    <w:basedOn w:val="825"/>
    <w:next w:val="825"/>
    <w:uiPriority w:val="39"/>
    <w:unhideWhenUsed/>
    <w:pPr>
      <w:pBdr/>
      <w:spacing w:after="57"/>
      <w:ind w:right="0" w:firstLine="0" w:left="1984"/>
    </w:pPr>
  </w:style>
  <w:style w:type="paragraph" w:styleId="823">
    <w:name w:val="toc 9"/>
    <w:basedOn w:val="825"/>
    <w:next w:val="825"/>
    <w:uiPriority w:val="39"/>
    <w:unhideWhenUsed/>
    <w:pPr>
      <w:pBdr/>
      <w:spacing w:after="57"/>
      <w:ind w:right="0" w:firstLine="0" w:left="2268"/>
    </w:pPr>
  </w:style>
  <w:style w:type="paragraph" w:styleId="824">
    <w:name w:val="table of figures"/>
    <w:basedOn w:val="825"/>
    <w:next w:val="825"/>
    <w:uiPriority w:val="99"/>
    <w:unhideWhenUsed/>
    <w:pPr>
      <w:pBdr/>
      <w:spacing w:after="0" w:afterAutospacing="0"/>
      <w:ind/>
    </w:pPr>
  </w:style>
  <w:style w:type="paragraph" w:styleId="825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26">
    <w:name w:val="Heading 1"/>
    <w:basedOn w:val="825"/>
    <w:next w:val="825"/>
    <w:link w:val="844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827">
    <w:name w:val="Heading 2"/>
    <w:basedOn w:val="825"/>
    <w:next w:val="825"/>
    <w:link w:val="845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828">
    <w:name w:val="Heading 3"/>
    <w:basedOn w:val="825"/>
    <w:next w:val="825"/>
    <w:link w:val="846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829">
    <w:name w:val="Heading 4"/>
    <w:basedOn w:val="825"/>
    <w:next w:val="825"/>
    <w:link w:val="847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830">
    <w:name w:val="Heading 5"/>
    <w:basedOn w:val="825"/>
    <w:next w:val="825"/>
    <w:link w:val="848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31">
    <w:name w:val="Heading 6"/>
    <w:basedOn w:val="825"/>
    <w:next w:val="825"/>
    <w:link w:val="849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32">
    <w:name w:val="Heading 7"/>
    <w:basedOn w:val="825"/>
    <w:next w:val="825"/>
    <w:link w:val="850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33">
    <w:name w:val="Heading 8"/>
    <w:basedOn w:val="825"/>
    <w:next w:val="825"/>
    <w:link w:val="851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34">
    <w:name w:val="Heading 9"/>
    <w:basedOn w:val="825"/>
    <w:next w:val="825"/>
    <w:link w:val="852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35" w:default="1">
    <w:name w:val="Default Paragraph Font"/>
    <w:uiPriority w:val="1"/>
    <w:semiHidden/>
    <w:unhideWhenUsed/>
    <w:pPr>
      <w:pBdr/>
      <w:spacing/>
      <w:ind/>
    </w:pPr>
  </w:style>
  <w:style w:type="table" w:styleId="83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7" w:default="1">
    <w:name w:val="No List"/>
    <w:uiPriority w:val="99"/>
    <w:semiHidden/>
    <w:unhideWhenUsed/>
    <w:pPr>
      <w:pBdr/>
      <w:spacing/>
      <w:ind/>
    </w:pPr>
  </w:style>
  <w:style w:type="paragraph" w:styleId="838" w:customStyle="1">
    <w:name w:val="Реквизит"/>
    <w:basedOn w:val="825"/>
    <w:pPr>
      <w:pBdr/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839">
    <w:name w:val="Title"/>
    <w:basedOn w:val="825"/>
    <w:link w:val="840"/>
    <w:uiPriority w:val="10"/>
    <w:qFormat/>
    <w:pPr>
      <w:pBdr/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40" w:customStyle="1">
    <w:name w:val="Заголовок Знак"/>
    <w:basedOn w:val="835"/>
    <w:link w:val="839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41">
    <w:name w:val="Message Header"/>
    <w:basedOn w:val="825"/>
    <w:link w:val="842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styleId="842" w:customStyle="1">
    <w:name w:val="Шапка Знак"/>
    <w:basedOn w:val="835"/>
    <w:link w:val="841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43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44" w:customStyle="1">
    <w:name w:val="Заголовок 1 Знак"/>
    <w:basedOn w:val="835"/>
    <w:link w:val="826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45" w:customStyle="1">
    <w:name w:val="Заголовок 2 Знак"/>
    <w:basedOn w:val="835"/>
    <w:link w:val="827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46" w:customStyle="1">
    <w:name w:val="Заголовок 3 Знак"/>
    <w:basedOn w:val="835"/>
    <w:link w:val="828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47" w:customStyle="1">
    <w:name w:val="Заголовок 4 Знак"/>
    <w:basedOn w:val="835"/>
    <w:link w:val="829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48" w:customStyle="1">
    <w:name w:val="Заголовок 5 Знак"/>
    <w:basedOn w:val="835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49" w:customStyle="1">
    <w:name w:val="Заголовок 6 Знак"/>
    <w:basedOn w:val="835"/>
    <w:link w:val="83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50" w:customStyle="1">
    <w:name w:val="Заголовок 7 Знак"/>
    <w:basedOn w:val="835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51" w:customStyle="1">
    <w:name w:val="Заголовок 8 Знак"/>
    <w:basedOn w:val="835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52" w:customStyle="1">
    <w:name w:val="Заголовок 9 Знак"/>
    <w:basedOn w:val="835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53">
    <w:name w:val="Caption"/>
    <w:basedOn w:val="825"/>
    <w:next w:val="825"/>
    <w:uiPriority w:val="35"/>
    <w:semiHidden/>
    <w:qFormat/>
    <w:pPr>
      <w:pBdr/>
      <w:spacing/>
      <w:ind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54">
    <w:name w:val="Signature"/>
    <w:basedOn w:val="825"/>
    <w:link w:val="855"/>
    <w:uiPriority w:val="99"/>
    <w:pPr>
      <w:pBdr/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styleId="855" w:customStyle="1">
    <w:name w:val="Подпись Знак"/>
    <w:basedOn w:val="835"/>
    <w:link w:val="854"/>
    <w:uiPriority w:val="99"/>
    <w:pPr>
      <w:pBdr/>
      <w:spacing/>
      <w:ind/>
    </w:pPr>
    <w:rPr>
      <w:rFonts w:ascii="Arial" w:hAnsi="Arial"/>
      <w:b/>
      <w:sz w:val="24"/>
    </w:rPr>
  </w:style>
  <w:style w:type="paragraph" w:styleId="856">
    <w:name w:val="Subtitle"/>
    <w:basedOn w:val="825"/>
    <w:next w:val="825"/>
    <w:link w:val="857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57" w:customStyle="1">
    <w:name w:val="Подзаголовок Знак"/>
    <w:basedOn w:val="835"/>
    <w:link w:val="856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58">
    <w:name w:val="Strong"/>
    <w:basedOn w:val="835"/>
    <w:uiPriority w:val="22"/>
    <w:semiHidden/>
    <w:qFormat/>
    <w:pPr>
      <w:pBdr/>
      <w:spacing/>
      <w:ind/>
    </w:pPr>
    <w:rPr>
      <w:b/>
      <w:bCs/>
    </w:rPr>
  </w:style>
  <w:style w:type="character" w:styleId="859">
    <w:name w:val="Emphasis"/>
    <w:basedOn w:val="835"/>
    <w:uiPriority w:val="20"/>
    <w:semiHidden/>
    <w:qFormat/>
    <w:pPr>
      <w:pBdr/>
      <w:spacing/>
      <w:ind/>
    </w:pPr>
    <w:rPr>
      <w:i/>
      <w:iCs/>
    </w:rPr>
  </w:style>
  <w:style w:type="paragraph" w:styleId="860">
    <w:name w:val="List Paragraph"/>
    <w:basedOn w:val="825"/>
    <w:uiPriority w:val="34"/>
    <w:semiHidden/>
    <w:qFormat/>
    <w:pPr>
      <w:pBdr/>
      <w:spacing/>
      <w:ind w:left="720"/>
      <w:contextualSpacing w:val="true"/>
    </w:pPr>
    <w:rPr>
      <w:rFonts w:eastAsiaTheme="minorHAnsi" w:cstheme="minorBidi"/>
      <w:szCs w:val="22"/>
      <w:lang w:eastAsia="en-US"/>
    </w:rPr>
  </w:style>
  <w:style w:type="paragraph" w:styleId="861">
    <w:name w:val="Quote"/>
    <w:basedOn w:val="825"/>
    <w:next w:val="825"/>
    <w:link w:val="862"/>
    <w:uiPriority w:val="29"/>
    <w:semiHidden/>
    <w:qFormat/>
    <w:pPr>
      <w:pBdr/>
      <w:spacing/>
      <w:ind/>
    </w:pPr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62" w:customStyle="1">
    <w:name w:val="Цитата 2 Знак"/>
    <w:basedOn w:val="835"/>
    <w:link w:val="861"/>
    <w:uiPriority w:val="29"/>
    <w:semiHidden/>
    <w:pPr>
      <w:pBdr/>
      <w:spacing/>
      <w:ind/>
    </w:pPr>
    <w:rPr>
      <w:rFonts w:ascii="Arial" w:hAnsi="Arial" w:eastAsiaTheme="minorEastAsia"/>
      <w:i/>
      <w:iCs/>
      <w:color w:val="000000" w:themeColor="text1"/>
      <w:sz w:val="24"/>
    </w:rPr>
  </w:style>
  <w:style w:type="paragraph" w:styleId="863">
    <w:name w:val="Intense Quote"/>
    <w:basedOn w:val="825"/>
    <w:next w:val="825"/>
    <w:link w:val="864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64" w:customStyle="1">
    <w:name w:val="Выделенная цитата Знак"/>
    <w:basedOn w:val="835"/>
    <w:link w:val="863"/>
    <w:uiPriority w:val="30"/>
    <w:semiHidden/>
    <w:pPr>
      <w:pBdr/>
      <w:spacing/>
      <w:ind/>
    </w:pPr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65">
    <w:name w:val="Subtle Emphasis"/>
    <w:basedOn w:val="835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66">
    <w:name w:val="Intense Emphasis"/>
    <w:basedOn w:val="835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67">
    <w:name w:val="Subtle Reference"/>
    <w:basedOn w:val="835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68">
    <w:name w:val="Intense Reference"/>
    <w:basedOn w:val="835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69">
    <w:name w:val="Book Title"/>
    <w:basedOn w:val="835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70">
    <w:name w:val="TOC Heading"/>
    <w:basedOn w:val="826"/>
    <w:next w:val="825"/>
    <w:uiPriority w:val="39"/>
    <w:semiHidden/>
    <w:qFormat/>
    <w:pPr>
      <w:pBdr/>
      <w:spacing/>
      <w:ind/>
      <w:outlineLvl w:val="9"/>
    </w:pPr>
  </w:style>
  <w:style w:type="paragraph" w:styleId="871">
    <w:name w:val="Normal Indent"/>
    <w:basedOn w:val="825"/>
    <w:uiPriority w:val="99"/>
    <w:semiHidden/>
    <w:pPr>
      <w:pBdr/>
      <w:spacing/>
      <w:ind w:left="708"/>
    </w:pPr>
    <w:rPr>
      <w:rFonts w:eastAsiaTheme="minorHAnsi" w:cstheme="minorBidi"/>
      <w:szCs w:val="22"/>
      <w:lang w:eastAsia="en-US"/>
    </w:rPr>
  </w:style>
  <w:style w:type="paragraph" w:styleId="872">
    <w:name w:val="annotation text"/>
    <w:basedOn w:val="825"/>
    <w:link w:val="873"/>
    <w:uiPriority w:val="99"/>
    <w:pPr>
      <w:pBdr/>
      <w:spacing w:after="240" w:before="12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styleId="873" w:customStyle="1">
    <w:name w:val="Текст примечания Знак"/>
    <w:basedOn w:val="835"/>
    <w:link w:val="872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74" w:customStyle="1">
    <w:name w:val="Редакции"/>
    <w:basedOn w:val="825"/>
    <w:pPr>
      <w:pBdr/>
      <w:spacing w:after="240"/>
      <w:ind w:firstLine="0"/>
      <w:jc w:val="center"/>
    </w:pPr>
    <w:rPr>
      <w:i/>
      <w:iCs/>
    </w:rPr>
  </w:style>
  <w:style w:type="paragraph" w:styleId="875" w:customStyle="1">
    <w:name w:val="Таблица"/>
    <w:basedOn w:val="825"/>
    <w:qFormat/>
    <w:pPr>
      <w:pBdr/>
      <w:spacing/>
      <w:ind w:firstLine="0"/>
    </w:pPr>
    <w:rPr>
      <w:rFonts w:eastAsiaTheme="minorHAnsi" w:cstheme="minorBidi"/>
      <w:szCs w:val="22"/>
      <w:lang w:eastAsia="en-US"/>
    </w:rPr>
  </w:style>
  <w:style w:type="character" w:styleId="876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77">
    <w:name w:val="Balloon Text"/>
    <w:basedOn w:val="825"/>
    <w:link w:val="878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78" w:customStyle="1">
    <w:name w:val="Текст выноски Знак"/>
    <w:basedOn w:val="835"/>
    <w:link w:val="877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cbd.minjust.gov.kg/112424/edition/25872/ru#st_5" TargetMode="External"/><Relationship Id="rId10" Type="http://schemas.openxmlformats.org/officeDocument/2006/relationships/hyperlink" Target="https://cbd.minjust.gov.kg/112424/edition/25872/ru#st_9" TargetMode="External"/><Relationship Id="rId11" Type="http://schemas.openxmlformats.org/officeDocument/2006/relationships/hyperlink" Target="https://cbd.minjust.gov.kg/112424/edition/25872/ru#st_64" TargetMode="External"/><Relationship Id="rId12" Type="http://schemas.openxmlformats.org/officeDocument/2006/relationships/hyperlink" Target="http://212.42.109.12:8089/8.1.1-26/web-apps/apps/documenteditor/main/index.html?_dc=8.1.1-26&amp;lang=ru&amp;customer=ONLYOFFICE&amp;type=desktop&amp;frameEditorId=placeholder&amp;isForm=false&amp;parentOrigin=http://212.42.109.12:8085&amp;fileType=docx#pr" TargetMode="External"/><Relationship Id="rId13" Type="http://schemas.openxmlformats.org/officeDocument/2006/relationships/hyperlink" Target="https://cbd.minjust.gov.kg/302285/edition/1057622/ru" TargetMode="External"/><Relationship Id="rId14" Type="http://schemas.openxmlformats.org/officeDocument/2006/relationships/hyperlink" Target="https://cbd.minjust.gov.kg/8-289/edition/569901/ru" TargetMode="External"/><Relationship Id="rId15" Type="http://schemas.openxmlformats.org/officeDocument/2006/relationships/hyperlink" Target="https://cbd.minjust.gov.kg/8-291/edition/886067/ru" TargetMode="External"/><Relationship Id="rId16" Type="http://schemas.openxmlformats.org/officeDocument/2006/relationships/hyperlink" Target="https://cbd.minjust.gov.kg/302541/edition/1115208/ru" TargetMode="External"/><Relationship Id="rId17" Type="http://schemas.openxmlformats.org/officeDocument/2006/relationships/hyperlink" Target="https://cbd.minjust.gov.kg/8-405/edition/1115198/ru" TargetMode="External"/><Relationship Id="rId18" Type="http://schemas.openxmlformats.org/officeDocument/2006/relationships/hyperlink" Target="https://cbd.minjust.gov.kg/46-3571/edition/1085152/ru" TargetMode="External"/><Relationship Id="rId19" Type="http://schemas.openxmlformats.org/officeDocument/2006/relationships/hyperlink" Target="https://cbd.minjust.gov.kg/8-455/edition/778027/ru" TargetMode="External"/><Relationship Id="rId20" Type="http://schemas.openxmlformats.org/officeDocument/2006/relationships/hyperlink" Target="https://cbd.minjust.gov.kg/22-456/edition/1167337/ru" TargetMode="External"/><Relationship Id="rId21" Type="http://schemas.openxmlformats.org/officeDocument/2006/relationships/hyperlink" Target="https://cbd.minjust.gov.kg/8-289/edition/569901/ru" TargetMode="External"/><Relationship Id="rId22" Type="http://schemas.openxmlformats.org/officeDocument/2006/relationships/hyperlink" Target="https://cbd.minjust.gov.kg/302285/edition/1057622/ru" TargetMode="External"/><Relationship Id="rId23" Type="http://schemas.openxmlformats.org/officeDocument/2006/relationships/hyperlink" Target="https://cbd.minjust.gov.kg/302285/edition/1057622/ru" TargetMode="External"/><Relationship Id="rId24" Type="http://schemas.openxmlformats.org/officeDocument/2006/relationships/hyperlink" Target="https://cbd.minjust.gov.kg/8-289/edition/569901/ru" TargetMode="External"/><Relationship Id="rId25" Type="http://schemas.openxmlformats.org/officeDocument/2006/relationships/hyperlink" Target="https://cbd.minjust.gov.kg/8-291/edition/886067/ru" TargetMode="External"/><Relationship Id="rId26" Type="http://schemas.openxmlformats.org/officeDocument/2006/relationships/hyperlink" Target="https://cbd.minjust.gov.kg/8-291/edition/886067/ru" TargetMode="External"/><Relationship Id="rId27" Type="http://schemas.openxmlformats.org/officeDocument/2006/relationships/hyperlink" Target="https://cbd.minjust.gov.kg/302541/edition/1115208/ru" TargetMode="External"/><Relationship Id="rId28" Type="http://schemas.openxmlformats.org/officeDocument/2006/relationships/hyperlink" Target="https://cbd.minjust.gov.kg/302541/edition/1115208/ru" TargetMode="External"/><Relationship Id="rId29" Type="http://schemas.openxmlformats.org/officeDocument/2006/relationships/hyperlink" Target="https://cbd.minjust.gov.kg/46-3571/edition/1085152/ru" TargetMode="External"/><Relationship Id="rId30" Type="http://schemas.openxmlformats.org/officeDocument/2006/relationships/hyperlink" Target="https://cbd.minjust.gov.kg/46-3571/edition/1085152/ru" TargetMode="External"/><Relationship Id="rId31" Type="http://schemas.openxmlformats.org/officeDocument/2006/relationships/hyperlink" Target="https://cbd.minjust.gov.kg/22-456/edition/1167337/ru" TargetMode="External"/><Relationship Id="rId32" Type="http://schemas.openxmlformats.org/officeDocument/2006/relationships/hyperlink" Target="https://cbd.minjust.gov.kg/22-456/edition/1167337/ru" TargetMode="External"/><Relationship Id="rId33" Type="http://schemas.openxmlformats.org/officeDocument/2006/relationships/hyperlink" Target="https://cbd.minjust.gov.kg/4-3134/edition/45021/ru" TargetMode="External"/><Relationship Id="rId34" Type="http://schemas.openxmlformats.org/officeDocument/2006/relationships/hyperlink" Target="https://cbd.minjust.gov.kg/4-3134/edition/45021/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16</cp:revision>
  <dcterms:created xsi:type="dcterms:W3CDTF">2024-01-18T05:24:00Z</dcterms:created>
  <dcterms:modified xsi:type="dcterms:W3CDTF">2026-05-19T05:59:20Z</dcterms:modified>
</cp:coreProperties>
</file>