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2F6E" w14:textId="77777777" w:rsidR="00DC0A76" w:rsidRDefault="00DC0A76">
      <w:pPr>
        <w:pStyle w:val="ad"/>
      </w:pPr>
      <w:r>
        <w:rPr>
          <w:noProof/>
        </w:rPr>
        <w:drawing>
          <wp:inline distT="0" distB="0" distL="0" distR="0" wp14:anchorId="420A4DD7" wp14:editId="205901F5">
            <wp:extent cx="1152525" cy="1152525"/>
            <wp:effectExtent l="0" t="0" r="9525" b="9525"/>
            <wp:docPr id="1" name="Рисунок 3" descr="Описание: Описание: E:\Documents and Settings\Admin\Local Settings\Temp\CdbDocEditor\ebd34267-9887-4afa-95e5-ceb7175a6f1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E:\Documents and Settings\Admin\Local Settings\Temp\CdbDocEditor\ebd34267-9887-4afa-95e5-ceb7175a6f1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39D1" w14:textId="77777777" w:rsidR="00DC0A76" w:rsidRDefault="00DC0A76">
      <w:pPr>
        <w:pStyle w:val="ad"/>
      </w:pPr>
      <w:r>
        <w:t>НАЦИОНАЛЬНЫЙ БАНК КЫРГЫЗСКОЙ РЕСПУБЛИКИ</w:t>
      </w:r>
    </w:p>
    <w:p w14:paraId="2C7C033C" w14:textId="77777777" w:rsidR="00DC0A76" w:rsidRDefault="00DC0A76">
      <w:pPr>
        <w:pStyle w:val="ad"/>
      </w:pPr>
      <w:r>
        <w:t>ПОСТАНОВЛЕНИЕ</w:t>
      </w:r>
    </w:p>
    <w:p w14:paraId="2C94D576" w14:textId="77777777" w:rsidR="00DC0A76" w:rsidRDefault="00DC0A76">
      <w:pPr>
        <w:pStyle w:val="af9"/>
      </w:pPr>
      <w:r>
        <w:t>от 30 мая 2014 года № 24/7</w:t>
      </w:r>
    </w:p>
    <w:p w14:paraId="64CDE057" w14:textId="77777777" w:rsidR="00DC0A76" w:rsidRDefault="00DC0A76">
      <w:pPr>
        <w:pStyle w:val="a9"/>
      </w:pPr>
      <w:r>
        <w:t>О внесении дополнения в постановление Правления Национального банка Кыргызской  Республики «Об утверждении новой редакции Положения «О классификации активов и соответствующих отчислениях в резерв на покрытие потенциальных потерь и убытков» от 21 июля 2004 года № 18/3</w:t>
      </w:r>
    </w:p>
    <w:p w14:paraId="49244697" w14:textId="77777777" w:rsidR="00DC0A76" w:rsidRDefault="00DC0A76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14:paraId="0FB4F8A8" w14:textId="77777777" w:rsidR="00DC0A76" w:rsidRDefault="00DC0A76">
      <w:pPr>
        <w:pStyle w:val="af9"/>
        <w:jc w:val="center"/>
      </w:pPr>
      <w:r>
        <w:t>ПОСТАНОВЛЯЕТ:</w:t>
      </w:r>
    </w:p>
    <w:p w14:paraId="2CB40ACA" w14:textId="77777777" w:rsidR="00DC0A76" w:rsidRDefault="00DC0A76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новой редакции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«О классификации активов и соответствующих отчислениях в резерв на покрытие потенциальных потерь и убытков» от 21 июля 2004 года № 18/3 следующее дополнение: </w:t>
      </w:r>
    </w:p>
    <w:p w14:paraId="120EC559" w14:textId="77777777" w:rsidR="00DC0A76" w:rsidRDefault="00DC0A76">
      <w:r>
        <w:t xml:space="preserve">в </w:t>
      </w:r>
      <w:hyperlink r:id="rId8" w:history="1">
        <w:r>
          <w:rPr>
            <w:rStyle w:val="a3"/>
          </w:rPr>
          <w:t>Положении</w:t>
        </w:r>
      </w:hyperlink>
      <w: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r:id="rId9" w:history="1">
        <w:r>
          <w:rPr>
            <w:rStyle w:val="a3"/>
          </w:rPr>
          <w:t>постановлением</w:t>
        </w:r>
      </w:hyperlink>
      <w:r>
        <w:t>: </w:t>
      </w:r>
    </w:p>
    <w:p w14:paraId="5BB59244" w14:textId="77777777" w:rsidR="00DC0A76" w:rsidRDefault="00DC0A76">
      <w:r>
        <w:t>подпункт 4.3.2 пункта 4.3. дополнить абзацем десятым следующего содержания:  </w:t>
      </w:r>
    </w:p>
    <w:p w14:paraId="5FB9179D" w14:textId="77777777" w:rsidR="00DC0A76" w:rsidRDefault="00DC0A76">
      <w:r>
        <w:t>«- размер регулярных платежей в погашение заемщиком-физическим лицом, в том числе индивидуальным предпринимателем без образования юридического лица, задолженности по кредиту в иностранной валюте составляет более 40 процентов от его совокупного дохода за аналогичный период, при этом его совокупные доходы в иностранной валюте составляют менее 50 процентов от его совокупных доходов.». </w:t>
      </w:r>
    </w:p>
    <w:p w14:paraId="5ACBC4DD" w14:textId="77777777" w:rsidR="00DC0A76" w:rsidRDefault="00DC0A76">
      <w:r>
        <w:t>2. Настоящее постановление распространяется на вновь выданные и реструктуризированные кредиты после вступления в силу данного постановления. </w:t>
      </w:r>
    </w:p>
    <w:p w14:paraId="564C4287" w14:textId="77777777" w:rsidR="00DC0A76" w:rsidRDefault="00DC0A76">
      <w:r>
        <w:t>3. Настоящее постановление вступает в силу по истечении одного месяца со дня официального опубликования. </w:t>
      </w:r>
    </w:p>
    <w:p w14:paraId="46A112A1" w14:textId="77777777" w:rsidR="00DC0A76" w:rsidRDefault="00DC0A76">
      <w:r>
        <w:t>4. Юридическому управлению: </w:t>
      </w:r>
    </w:p>
    <w:p w14:paraId="2C547F4F" w14:textId="77777777" w:rsidR="00DC0A76" w:rsidRDefault="00DC0A76">
      <w:r>
        <w:t>- опубликовать настоящее постановление на официальном сайте Национального банка Кыргызской Республики; </w:t>
      </w:r>
    </w:p>
    <w:p w14:paraId="40A4C4DA" w14:textId="77777777" w:rsidR="00DC0A76" w:rsidRDefault="00DC0A76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0C20C028" w14:textId="77777777" w:rsidR="00DC0A76" w:rsidRDefault="00DC0A76">
      <w:r>
        <w:t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«Финансовая компания кредитных союзов», Государственного банка развития Кыргызской Республики, областных управлений Национального банка и представительства Национального банка Кыргызской Республики в Баткенской области. </w:t>
      </w:r>
    </w:p>
    <w:p w14:paraId="5F7873A7" w14:textId="77777777" w:rsidR="00DC0A76" w:rsidRDefault="00DC0A76">
      <w:r>
        <w:t>6.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 w14:paraId="2AF9C58E" w14:textId="77777777" w:rsidR="00DC0A76" w:rsidRDefault="00DC0A76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A9AB27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CA40A" w14:textId="77777777" w:rsidR="00DC0A76" w:rsidRDefault="00DC0A76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DEA1A" w14:textId="77777777" w:rsidR="00DC0A76" w:rsidRDefault="00DC0A76">
            <w:pPr>
              <w:pStyle w:val="ab"/>
              <w:jc w:val="right"/>
            </w:pPr>
            <w:r>
              <w:t>Т.С. Абдыгулов</w:t>
            </w:r>
          </w:p>
        </w:tc>
      </w:tr>
    </w:tbl>
    <w:p w14:paraId="6BBCB8CC" w14:textId="77777777" w:rsidR="00DC0A76" w:rsidRDefault="00DC0A76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76"/>
    <w:rsid w:val="00DC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7E9FE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imes New Roman" w:hAnsi="Times New Roman" w:cs="Times New Roman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imes New Roman" w:hAnsi="Times New Roman" w:cs="Times New Roman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Times New Roman" w:hAnsi="Times New Roman" w:cs="Times New Roman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Times New Roman" w:hAnsi="Times New Roman" w:cs="Times New Roman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Times New Roman" w:hAnsi="Times New Roman" w:cs="Times New Roman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hAnsi="Times New Roman" w:cs="Times New Roman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Times New Roman" w:hAnsi="Times New Roman" w:cs="Times New Roman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Times New Roman" w:hAnsi="Times New Roman" w:cs="Times New Roman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Times New Roman" w:hAnsi="Times New Roman" w:cs="Times New Roman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Times New Roman" w:hAnsi="Times New Roman" w:cs="Times New Roman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character" w:customStyle="1" w:styleId="af8">
    <w:name w:val="Название Знак"/>
    <w:basedOn w:val="a0"/>
    <w:link w:val="msotitlecxspfirst"/>
    <w:rPr>
      <w:rFonts w:ascii="Times New Roman" w:hAnsi="Times New Roman" w:cs="Times New Roman" w:hint="default"/>
      <w:b/>
      <w:bCs/>
      <w:spacing w:val="5"/>
    </w:rPr>
  </w:style>
  <w:style w:type="paragraph" w:customStyle="1" w:styleId="msotitlecxspfirst">
    <w:name w:val="msotitlecxspfirst"/>
    <w:basedOn w:val="a"/>
    <w:link w:val="af8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afb">
    <w:name w:val="Таблица"/>
    <w:basedOn w:val="a"/>
    <w:pPr>
      <w:ind w:firstLine="0"/>
    </w:pPr>
  </w:style>
  <w:style w:type="character" w:styleId="afc">
    <w:name w:val="Subtle Emphasis"/>
    <w:basedOn w:val="a0"/>
    <w:uiPriority w:val="19"/>
    <w:qFormat/>
    <w:rPr>
      <w:i/>
      <w:iCs/>
      <w:color w:val="808080"/>
    </w:rPr>
  </w:style>
  <w:style w:type="character" w:styleId="afd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e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0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1">
    <w:name w:val="Название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