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 ПРАВЛЕНИЯ НАЦИОНАЛЬНОГО БАНКА 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jc w:val="both"/>
        <w:rPr/>
      </w:pPr>
      <w:r>
        <w:rPr>
          <w:rFonts w:ascii="Arial" w:hAnsi="Arial" w:eastAsia="Arial" w:cs="Arial"/>
          <w:i/>
          <w:color w:val="000000"/>
          <w:sz w:val="24"/>
        </w:rPr>
      </w:r>
      <w:r/>
    </w:p>
    <w:p>
      <w:pPr>
        <w:pBdr/>
        <w:shd w:val="nil"/>
        <w:spacing/>
        <w:ind w:right="0" w:firstLine="0" w:left="0"/>
        <w:rPr>
          <w:rFonts w:ascii="Arial" w:hAnsi="Arial" w:cs="Arial"/>
          <w14:ligatures w14:val="none"/>
        </w:rPr>
      </w:pPr>
      <w:r>
        <w:rPr>
          <w:rFonts w:ascii="Arial" w:hAnsi="Arial" w:eastAsia="Arial" w:cs="Arial"/>
        </w:rPr>
        <w:t xml:space="preserve">от 29 мая 2026 года №</w:t>
      </w:r>
      <w:r>
        <w:rPr>
          <w:rFonts w:ascii="Arial" w:hAnsi="Arial" w:eastAsia="Arial" w:cs="Arial"/>
        </w:rPr>
        <w:t xml:space="preserve"> 2026-П-12/33-4-(БС)</w:t>
      </w:r>
      <w:r>
        <w:rPr>
          <w:rFonts w:ascii="Arial" w:hAnsi="Arial" w:eastAsia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</w:r>
      <w:r>
        <w:rPr>
          <w:rFonts w:ascii="Arial" w:hAnsi="Arial" w:eastAsia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851"/>
        </w:tabs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О внесении изменений </w:t>
      </w:r>
      <w:r>
        <w:rPr>
          <w:rFonts w:ascii="Arial" w:hAnsi="Arial" w:eastAsia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851"/>
        </w:tabs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 некоторые нормативные правовые акты </w:t>
      </w:r>
      <w:r>
        <w:rPr>
          <w:rFonts w:ascii="Arial" w:hAnsi="Arial" w:eastAsia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851"/>
        </w:tabs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Национального банка Кыргызской Республики </w:t>
      </w:r>
      <w:r>
        <w:rPr>
          <w:rFonts w:ascii="Arial" w:hAnsi="Arial" w:eastAsia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1262743/ru#st_5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1262743/ru#st_9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1262743/ru#st_64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«Об утверждении </w:t>
      </w:r>
      <w:hyperlink r:id="rId12" w:tooltip="https://cbd.minjust.gov.kg/31372/edition/1139931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 » </w:t>
      </w:r>
      <w:hyperlink r:id="rId13" w:tooltip="https://cbd.minjust.gov.kg/8-53/edition/1139933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от 21 июля 2004 года № 18/3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2022-П-12/63-1-(НПА).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Признать утратившим силу пункт 4 постановления Правления Национального банка Кыргызской Республики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года № 2022-П-12/63-1-(НПА).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 Юридическому управлению: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 Настоящее постановление вступает в силу по истечении 15 (пятнадцати) дней со дня официального опубликования.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 Управлению методологии надзора в течение 3 (трех) рабочих дней со дня официального опубликования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настоящего постановления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довести его до сведения коммерческих банков, ОЮЛ «Союз банков Кыргызстана»,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ОАО «Финансовая компания кредитных союзов» и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гарантийных фондов.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-1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Отделу «Секретариат Правления» в течение 3 (трех) рабочих дней со дня принятия настоящего постановления довести его до сведения управления методологии надзора, управления банковского надзора, отдела мониторинга и анализа финансовой стабильности, управле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ния финансовой статистики и обзора, управления лицензирования, управления денежно-кредитной политики, отдела противодействия финансированию преступной деятельности и легализации (отмыванию) преступных доходов, управления цифровых финансовых технологий и юр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идического управления.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/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851"/>
          <w:tab w:val="left" w:leader="none" w:pos="993"/>
        </w:tabs>
        <w:spacing w:after="0"/>
        <w:ind w:right="0" w:firstLine="0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851"/>
          <w:tab w:val="left" w:leader="none" w:pos="993"/>
        </w:tabs>
        <w:spacing w:after="0"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tbl>
      <w:tblPr>
        <w:tblStyle w:val="683"/>
        <w:tblW w:w="0" w:type="auto"/>
        <w:tblBorders/>
        <w:tblLook w:val="04A0" w:firstRow="1" w:lastRow="0" w:firstColumn="1" w:lastColumn="0" w:noHBand="0" w:noVBand="1"/>
      </w:tblPr>
      <w:tblGrid>
        <w:gridCol w:w="4857"/>
        <w:gridCol w:w="4857"/>
        <w:gridCol w:w="485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851"/>
                <w:tab w:val="left" w:leader="none" w:pos="993"/>
              </w:tabs>
              <w:spacing w:after="0"/>
              <w:ind w:firstLine="0"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851"/>
                <w:tab w:val="left" w:leader="none" w:pos="993"/>
              </w:tabs>
              <w:spacing w:after="0"/>
              <w:ind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993"/>
                <w:tab w:val="left" w:leader="none" w:pos="6803"/>
              </w:tabs>
              <w:spacing w:after="0"/>
              <w:ind w:right="0" w:firstLine="0" w:left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А. Бакетаев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/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851"/>
          <w:tab w:val="left" w:leader="none" w:pos="993"/>
        </w:tabs>
        <w:spacing w:after="0"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993"/>
          <w:tab w:val="left" w:leader="none" w:pos="6803"/>
        </w:tabs>
        <w:spacing w:after="0"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tbl>
      <w:tblPr>
        <w:tblStyle w:val="683"/>
        <w:tblW w:w="0" w:type="auto"/>
        <w:tblBorders/>
        <w:tblLook w:val="04A0" w:firstRow="1" w:lastRow="0" w:firstColumn="1" w:lastColumn="0" w:noHBand="0" w:noVBand="1"/>
      </w:tblPr>
      <w:tblGrid>
        <w:gridCol w:w="4857"/>
        <w:gridCol w:w="4857"/>
        <w:gridCol w:w="485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993"/>
                <w:tab w:val="left" w:leader="none" w:pos="6803"/>
              </w:tabs>
              <w:spacing w:after="0"/>
              <w:ind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993"/>
                <w:tab w:val="left" w:leader="none" w:pos="6803"/>
              </w:tabs>
              <w:spacing w:after="0"/>
              <w:ind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5669"/>
              </w:tabs>
              <w:spacing w:after="0"/>
              <w:ind w:right="0" w:firstLine="0" w:left="0"/>
              <w:jc w:val="right"/>
              <w:rPr>
                <w:rFonts w:ascii="Arial" w:hAnsi="Arial" w:cs="Arial"/>
                <w:b w:val="0"/>
                <w:bCs w:val="0"/>
                <w:i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  <w:t xml:space="preserve">Приложение</w:t>
            </w:r>
            <w:r>
              <w:rPr>
                <w:rFonts w:ascii="Arial" w:hAnsi="Arial" w:eastAsia="Arial" w:cs="Arial"/>
                <w:b w:val="0"/>
                <w:bCs w:val="0"/>
                <w:i/>
                <w:iCs/>
                <w:sz w:val="24"/>
                <w:szCs w:val="24"/>
              </w:rPr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5669"/>
              </w:tabs>
              <w:spacing w:after="0"/>
              <w:ind w:right="0" w:firstLine="0" w:left="0"/>
              <w:jc w:val="right"/>
              <w:rPr>
                <w:rFonts w:ascii="Arial" w:hAnsi="Arial" w:cs="Arial"/>
                <w:b w:val="0"/>
                <w:bCs w:val="0"/>
                <w:i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  <w:t xml:space="preserve">к постановлению Правления</w:t>
            </w:r>
            <w:r>
              <w:rPr>
                <w:rFonts w:ascii="Arial" w:hAnsi="Arial" w:eastAsia="Arial" w:cs="Arial"/>
                <w:b w:val="0"/>
                <w:bCs w:val="0"/>
                <w:i/>
                <w:iCs/>
                <w:sz w:val="24"/>
                <w:szCs w:val="24"/>
              </w:rPr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5669"/>
              </w:tabs>
              <w:spacing w:after="0"/>
              <w:ind w:right="0" w:firstLine="0" w:left="0"/>
              <w:jc w:val="right"/>
              <w:rPr>
                <w:rFonts w:ascii="Arial" w:hAnsi="Arial" w:cs="Arial"/>
                <w:b w:val="0"/>
                <w:bCs w:val="0"/>
                <w:i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  <w:t xml:space="preserve">Национального банка</w:t>
            </w:r>
            <w:r>
              <w:rPr>
                <w:rFonts w:ascii="Arial" w:hAnsi="Arial" w:eastAsia="Arial" w:cs="Arial"/>
                <w:b w:val="0"/>
                <w:bCs w:val="0"/>
                <w:i/>
                <w:iCs/>
                <w:sz w:val="24"/>
                <w:szCs w:val="24"/>
              </w:rPr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5669"/>
              </w:tabs>
              <w:spacing w:after="0"/>
              <w:ind w:right="0" w:firstLine="0" w:left="0"/>
              <w:jc w:val="right"/>
              <w:rPr>
                <w:rFonts w:ascii="Arial" w:hAnsi="Arial" w:cs="Arial"/>
                <w:b w:val="0"/>
                <w:bCs w:val="0"/>
                <w:i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  <w:t xml:space="preserve">Кыргызской Республики</w:t>
            </w:r>
            <w:r>
              <w:rPr>
                <w:rFonts w:ascii="Arial" w:hAnsi="Arial" w:eastAsia="Arial" w:cs="Arial"/>
                <w:b w:val="0"/>
                <w:bCs w:val="0"/>
                <w:i/>
                <w:iCs/>
                <w:sz w:val="24"/>
                <w:szCs w:val="24"/>
              </w:rPr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5669"/>
              </w:tabs>
              <w:spacing w:after="60" w:before="0" w:line="276" w:lineRule="auto"/>
              <w:ind w:right="0" w:firstLine="0" w:left="0"/>
              <w:jc w:val="right"/>
              <w:rPr>
                <w:rFonts w:ascii="Arial" w:hAnsi="Arial" w:cs="Arial"/>
                <w:b w:val="0"/>
                <w:bCs w:val="0"/>
                <w:i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  <w:t xml:space="preserve">от 29 мая 2026 года</w:t>
            </w:r>
            <w:r>
              <w:rPr>
                <w:rFonts w:ascii="Arial" w:hAnsi="Arial" w:eastAsia="Arial" w:cs="Arial"/>
                <w:b w:val="0"/>
                <w:bCs w:val="0"/>
                <w:i/>
                <w:iCs/>
                <w:sz w:val="24"/>
                <w:szCs w:val="24"/>
              </w:rPr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5669"/>
              </w:tabs>
              <w:spacing w:after="60" w:before="0" w:line="276" w:lineRule="auto"/>
              <w:ind w:right="0" w:firstLine="0" w:left="0"/>
              <w:jc w:val="right"/>
              <w:rPr>
                <w:rFonts w:ascii="Arial" w:hAnsi="Arial" w:cs="Arial"/>
                <w:b w:val="0"/>
                <w:bCs w:val="0"/>
                <w:i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  <w:t xml:space="preserve">№ 2026-П-12/33-4-(БС)</w:t>
            </w: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  <w:b w:val="0"/>
                <w:bCs w:val="0"/>
                <w:i/>
                <w:iCs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5669"/>
        </w:tabs>
        <w:spacing w:after="0" w:before="0"/>
        <w:ind w:right="113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5669"/>
        </w:tabs>
        <w:spacing w:after="0" w:before="0"/>
        <w:ind w:right="113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5669"/>
        </w:tabs>
        <w:spacing w:after="0" w:before="0"/>
        <w:ind w:right="113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Изменения </w:t>
      </w:r>
      <w:r>
        <w:rPr>
          <w:rFonts w:ascii="Arial" w:hAnsi="Arial" w:eastAsia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 некоторые нормативные правовые акты </w:t>
      </w:r>
      <w:r>
        <w:rPr>
          <w:rFonts w:ascii="Arial" w:hAnsi="Arial" w:eastAsia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Национального банка Кыргызской Республики </w:t>
      </w:r>
      <w:r>
        <w:rPr>
          <w:rFonts w:ascii="Arial" w:hAnsi="Arial" w:eastAsia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993"/>
        </w:tabs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 Внести в </w:t>
      </w:r>
      <w:hyperlink r:id="rId14" w:tooltip="https://cbd.minjust.gov.kg/8-53/edition/1139933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r:id="rId15" w:tooltip="https://cbd.minjust.gov.kg/31372/edition/1139931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 от 21 июля 2004 года № 18/3 следующие измене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ния: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6" w:tooltip="https://cbd.minjust.gov.kg/31372/edition/1139931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убытков», утвержденном вышеуказанным постановлением: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 пункт 4.2. дополнить подпунктом 4.2.8 следующего содержания: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«4.2.8. Банк вправе классифицировать кредит в иностранной валюте как «удовлетворительный актив» в случае, если он соответствуют нормам, указанным в подпунктах 4.2.1 и 4.2.2 пункта 4.2 настоящего Положения, а также при одновременном соблюдении следующих усл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овий: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кредит предоставлен в иностранной валюте филиалом коммерческого банка, расположенным за пределами Кыргызской Республики;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кредит предоставлен и обслуживается на территории страны пребывания филиала;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страна пребывания филиала имеет долгосрочный суверенный кредитный рейтинг не ниже уровня «BВВ», который присвоен рейтинговым агентством Standard &amp; Poor's, или равнозначный рейтинг, который присвоен одним из рейтинговых агентств Japan Credit Rating Agency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(JCR), Fitch Ratings, Dominion Bond Rating Service (DBRS), Moody's Investors Service;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- валюта кредита соответствует валюте доходов заемщика (не менее 75 процентов доходов заемщика формируется в валюте кредита).»;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пункт 11.1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«11.1. Трансграничные кредиты и кредиты, которые обеспечены залогом, находящимся за пределами Кыргызской Республики, банк должен классифицировать как минимум как «активы под наблюдением», за исключением случая, предусмотренного подпунктом 4.2.8 пункта 4.2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настоящего Положения.».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А) следующие изменения: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567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Инструкции по определению стандартов достаточности (адекватности) капитала коммерческих банков Кыргызской Республики, утвержденной вышеуказанным постановлением: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 подпункт 2 пункта 21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«2) нематериальные активы, за исключением: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нематериальных активов, представляющих собой программные решения, направленные на противодействие мошенничеству (антифрод-системы) и соответствующие требованиям Национального банка, при предварительном уведомлении Национального банка с предоставлением п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одтверждающих документов;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нематериальных активов, предназначенных для открытия и функционирования филиалов за рубежом, при этом к таким активам относятся исключительно программные решения, возникающие в результате приобретения или разработки идентифицируемых нематериальных актив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ов, признанных в соответствии с Международными стандартами финансовой отчетности (далее – МСФО), при одновременном соблюдении следующих условий: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такие активы используются исключительно для обеспечения деятельности соответствующего филиала и не используются иными подразделениями банка, за исключением нематериальных активов, предназначенных для сбора, структурирования, обработки, хранения данных, 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ключая данные филиала за рубежом, а также формирования консолидированной отчетности;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затраты носят разовый характер и не включают расходы, связанные с технической поддержкой, обновлением и эксплуатацией, а также с обучением персонала;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активы подлежат амортизации в соответствии с МСФО, при этом срок амортизации не превышает 5 (пяти) лет;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 данным активам отсутствуют признаки обесценения;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банк обеспечивает раздельный учет таких активов;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 предварительном уведомлении Национального банка с предоставлением подтверждающих документов.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случае несоблюдения указанных условий такие активы подлежат вычету в соответствии с настоящим пунктом.»;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 в пункте 25: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4 дополнить абзацамиследующего содержания: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«д) кредиты юридическим лицам, имеющим кредитный рейтинг не ниже уровня «ВВВ»,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gs, Dominion Bond Rating Service (DBRS), Moody's Investors Service, и другими рейтинговыми агентствами, соответствующими критериям, установленным пунктом 3 Положения «Об экономических нормативах и требованиях, обязательных для выполнения коммерческими банк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ами Кыргызской Республики», при условии, что суверенный кредитный рейтинг страны, в которой осуществляет деятельность данное юридическое лицо, не ниже вышеуказанного рейтинга и валюта кредита соответствует валюте доходов заемщика.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случае если данные кредиты просрочены свыше 30 дней и/или реструктуризированы, то они указываются в категории 5 со степенью кредитного риска 100%.»;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8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5 дополнить абзацами следующего содержания: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«к) кредиты, предоставленные в иностранной валюте филиалом коммерческого банка, расположенным за пределами Кыргызской Республики, за исключением кредитов, указанных в абзаце первом подпункта «д» подпункта 4 пункта 25, при одновременном соблюдении следующих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условий: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кредит предоставлен и обслуживается на территории страны пребывания филиала;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страна пребывания филиала имеет долгосрочный суверенный кредитный рейтинг не ниже уровня «BВВ», который присвоен рейтинговым агентством Standard &amp; Poor's, или равнозначный рейтинг, который присвоен одним из рейтинговых агентств Japan Credit Rating Agency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(JCR), Fitch Ratings, Dominion Bond Rating Service (DBRS), Moody's Investors Service;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u w:val="none"/>
        </w:rPr>
        <w:t xml:space="preserve">- валюта кредита соответствует валюте доходов заемщика (не менее 75 процентов доходов заемщика формируется в валюте кредита).»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втором подпункта 6 слова «категории 4» заменить словами «категориях 4 и 5».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1262743/ru#st_5" TargetMode="External"/><Relationship Id="rId10" Type="http://schemas.openxmlformats.org/officeDocument/2006/relationships/hyperlink" Target="https://cbd.minjust.gov.kg/112424/edition/1262743/ru#st_9" TargetMode="External"/><Relationship Id="rId11" Type="http://schemas.openxmlformats.org/officeDocument/2006/relationships/hyperlink" Target="https://cbd.minjust.gov.kg/112424/edition/1262743/ru#st_64" TargetMode="External"/><Relationship Id="rId12" Type="http://schemas.openxmlformats.org/officeDocument/2006/relationships/hyperlink" Target="https://cbd.minjust.gov.kg/31372/edition/1139931/ru" TargetMode="External"/><Relationship Id="rId13" Type="http://schemas.openxmlformats.org/officeDocument/2006/relationships/hyperlink" Target="https://cbd.minjust.gov.kg/8-53/edition/1139933/ru" TargetMode="External"/><Relationship Id="rId14" Type="http://schemas.openxmlformats.org/officeDocument/2006/relationships/hyperlink" Target="https://cbd.minjust.gov.kg/8-53/edition/1139933/ru" TargetMode="External"/><Relationship Id="rId15" Type="http://schemas.openxmlformats.org/officeDocument/2006/relationships/hyperlink" Target="https://cbd.minjust.gov.kg/31372/edition/1139931/ru" TargetMode="External"/><Relationship Id="rId16" Type="http://schemas.openxmlformats.org/officeDocument/2006/relationships/hyperlink" Target="https://cbd.minjust.gov.kg/31372/edition/1139931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2026-07-08T05:11:30Z</dcterms:modified>
</cp:coreProperties>
</file>