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after="360"/>
        <w:ind w:right="0" w:firstLine="0" w:left="0"/>
        <w:jc w:val="center"/>
        <w:rPr>
          <w:highlight w:val="none"/>
        </w:rPr>
      </w:pPr>
      <w:r>
        <w:rPr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247775" cy="1257300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2873970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1247774" cy="12572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98.25pt;height:99.00pt;mso-wrap-distance-left:0.00pt;mso-wrap-distance-top:0.00pt;mso-wrap-distance-right:0.00pt;mso-wrap-distance-bottom:0.00pt;z-index:1;" stroked="false">
                <v:imagedata r:id="rId8" o:title=""/>
                <o:lock v:ext="edit" rotation="t"/>
              </v:shape>
            </w:pict>
          </mc:Fallback>
        </mc:AlternateContent>
      </w:r>
      <w:r>
        <w:rPr>
          <w:highlight w:val="none"/>
        </w:rPr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360" w:before="0"/>
        <w:ind w:right="0" w:firstLine="397" w:left="0"/>
        <w:jc w:val="center"/>
        <w:rPr/>
      </w:pPr>
      <w:r>
        <w:rPr>
          <w:rFonts w:ascii="Arial" w:hAnsi="Arial" w:eastAsia="Arial" w:cs="Arial"/>
          <w:b/>
          <w:color w:val="000000"/>
          <w:sz w:val="32"/>
        </w:rPr>
        <w:t xml:space="preserve">ПОСТАНОВЛЕНИЕ ПРАВЛЕНИЯ НАЦИОНАЛЬНОГО БАНКА КЫРГЫЗСКОЙ РЕСПУБЛИКИ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360" w:before="0"/>
        <w:ind w:right="0" w:firstLine="397" w:left="0"/>
        <w:jc w:val="center"/>
        <w:rPr/>
      </w:pPr>
      <w:r>
        <w:rPr>
          <w:rFonts w:ascii="Arial" w:hAnsi="Arial" w:eastAsia="Arial" w:cs="Arial"/>
          <w:color w:val="000000"/>
        </w:rPr>
        <w:t xml:space="preserve"> 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360" w:before="0"/>
        <w:ind w:right="0" w:firstLine="0" w:left="0"/>
        <w:rPr>
          <w:rFonts w:ascii="Arial" w:hAnsi="Arial" w:eastAsia="Arial" w:cs="Arial"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color w:val="000000"/>
          <w:sz w:val="24"/>
        </w:rPr>
        <w:t xml:space="preserve">от 28 августа 2026 года № 2026-П-14/44-1-(НПА)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360" w:before="0"/>
        <w:ind w:right="0" w:firstLine="0" w:left="0"/>
        <w:rPr>
          <w:rFonts w:ascii="Arial" w:hAnsi="Arial" w:eastAsia="Arial" w:cs="Arial"/>
        </w:rPr>
      </w:pPr>
      <w:r>
        <w:rPr>
          <w:rFonts w:ascii="Arial" w:hAnsi="Arial" w:eastAsia="Arial" w:cs="Arial"/>
        </w:rPr>
      </w:r>
      <w:r>
        <w:rPr>
          <w:rFonts w:ascii="Arial" w:hAnsi="Arial" w:eastAsia="Arial" w:cs="Arial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53" w:lineRule="atLeast"/>
        <w:ind w:right="0" w:firstLine="0" w:left="0"/>
        <w:jc w:val="center"/>
        <w:rPr>
          <w:b/>
          <w:bCs/>
          <w:sz w:val="28"/>
          <w:szCs w:val="28"/>
        </w:rPr>
      </w:pPr>
      <w:r>
        <w:rPr>
          <w:rFonts w:ascii="Arial" w:hAnsi="Arial" w:eastAsia="Arial" w:cs="Arial"/>
          <w:b/>
          <w:bCs/>
          <w:color w:val="000000"/>
          <w:sz w:val="28"/>
          <w:szCs w:val="28"/>
        </w:rPr>
        <w:t xml:space="preserve">О внесении изменений </w:t>
      </w:r>
      <w:r>
        <w:rPr>
          <w:rFonts w:ascii="Arial" w:hAnsi="Arial" w:eastAsia="Arial" w:cs="Arial"/>
          <w:b/>
          <w:bCs/>
          <w:color w:val="000000"/>
          <w:sz w:val="28"/>
          <w:szCs w:val="28"/>
        </w:rPr>
        <w:t xml:space="preserve">в постановление Правления Национального банка Кыргызской Республики </w:t>
      </w:r>
      <w:r>
        <w:rPr>
          <w:rFonts w:ascii="Arial" w:hAnsi="Arial" w:eastAsia="Arial" w:cs="Arial"/>
          <w:b/>
          <w:bCs/>
          <w:color w:val="000000"/>
          <w:sz w:val="28"/>
          <w:szCs w:val="28"/>
        </w:rPr>
        <w:t xml:space="preserve">«Об утверждении Положения «О минимальных требованиях к организации внутреннего контроля в коммерческих банках в целях противодействия финансированию террористической деятельности и легализации (отмыванию) преступных доходов», Положения «О порядке проведени</w:t>
      </w:r>
      <w:r>
        <w:rPr>
          <w:rFonts w:ascii="Arial" w:hAnsi="Arial" w:eastAsia="Arial" w:cs="Arial"/>
          <w:b/>
          <w:bCs/>
          <w:color w:val="000000"/>
          <w:sz w:val="28"/>
          <w:szCs w:val="28"/>
        </w:rPr>
        <w:t xml:space="preserve">я обменных операций с наличной иностранной валютой в Кыргызской Республике» и внесении изменений и дополнений в некоторые нормативные правовые акты Национального банка Кыргызской Республики по вопросам противодействия финансированию террористической деятел</w:t>
      </w:r>
      <w:r>
        <w:rPr>
          <w:rFonts w:ascii="Arial" w:hAnsi="Arial" w:eastAsia="Arial" w:cs="Arial"/>
          <w:b/>
          <w:bCs/>
          <w:color w:val="000000"/>
          <w:sz w:val="28"/>
          <w:szCs w:val="28"/>
        </w:rPr>
        <w:t xml:space="preserve">ьности и легализации (отмыванию) преступных доходов» от 14 августа 2019 года № 2019-П-12/42-1-(НПА)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53" w:lineRule="atLeast"/>
        <w:ind w:right="0" w:firstLine="0" w:left="0"/>
        <w:jc w:val="both"/>
        <w:rPr/>
      </w:pPr>
      <w:r>
        <w:rPr>
          <w:rFonts w:ascii="Arial" w:hAnsi="Arial" w:eastAsia="Arial" w:cs="Arial"/>
          <w:color w:val="000000"/>
          <w:sz w:val="24"/>
        </w:rPr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53" w:lineRule="atLeast"/>
        <w:ind w:right="0" w:firstLine="0" w:left="0"/>
        <w:jc w:val="both"/>
        <w:rPr/>
      </w:pPr>
      <w:r>
        <w:rPr>
          <w:rFonts w:ascii="Arial" w:hAnsi="Arial" w:eastAsia="Arial" w:cs="Arial"/>
          <w:color w:val="000000"/>
          <w:sz w:val="24"/>
        </w:rPr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соответствии со статьями </w:t>
      </w:r>
      <w:hyperlink r:id="rId9" w:tooltip="https://cbd.minjust.gov.kg/112424/edition/40032/ru#st_5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5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, </w:t>
      </w:r>
      <w:hyperlink r:id="rId10" w:tooltip="https://cbd.minjust.gov.kg/112424/edition/40032/ru#st_9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9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и </w:t>
      </w:r>
      <w:hyperlink r:id="rId11" w:tooltip="https://cbd.minjust.gov.kg/112424/edition/40032/ru#st_64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64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 Правление Национального банка Кыргызской Республики постановляет: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1. Внести в </w:t>
      </w:r>
      <w:hyperlink r:id="rId12" w:tooltip="https://cbd.minjust.gov.kg/8-853/edition/1036107/ru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r:id="rId13" w:tooltip="https://cbd.minjust.gov.kg/860284/edition/1090005/ru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"О минимальных требованиях к организации внутреннего контроля в коммерческих банках в целях противодействия финансированию террористической деятельности и легализации (отмыванию) преступных доходов", </w:t>
      </w:r>
      <w:hyperlink r:id="rId14" w:tooltip="https://cbd.minjust.gov.kg/860285/edition/1095320/ru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"О порядке проведения обменных операций с наличной иностранной валютой в Кыргызской Республике" и внесении изменений и дополнений в некоторые нормативные правовые акты Национального банка Кыргызской Республики по вопросам противодействия финансированию те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ррористической деятельности и легализации (отмыванию) преступных доходов" от 14 августа 2019 года № 2019-П-12/42-1-(НПА) следующие изменения: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</w:t>
      </w:r>
      <w:hyperlink r:id="rId15" w:tooltip="https://cbd.minjust.gov.kg/860284/edition/1090005/ru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"О минимальных требованиях к организации внутреннего контроля в коммерческих банках в целях противодействия финансированию преступной деятельности и легализации (отмыванию) преступных доходов", утвержденном вышеуказанным </w:t>
      </w:r>
      <w:hyperlink r:id="rId16" w:tooltip="https://cbd.minjust.gov.kg/8-853/edition/1036107/ru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1) </w:t>
      </w:r>
      <w:hyperlink r:id="rId17" w:tooltip="https://cbd.minjust.gov.kg/860284/edition/1090005/ru#g4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главу 4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дополнить пунктами 10-1, 10-2, 10-3, 10-4 следующего содержания: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"10-1. Банк обеспечивает применение автоматизированных инструментов мониторинга и анализа операций и (или) сделок с виртуальными активами, включая инструменты блокчейн-аналитики, в объеме, соответствующем конкретному виду предоставляемых услуг, характеру, 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масштабу и уровню рисков осуществляемой деятельности, а также с учетом особенностей применяемой технологии и доступности необходимых для анализа данных.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Банк осуществляет анализ доступных сведений об операциях, зафиксированных в технологии распределенных реестров, адресах (кошельках) виртуальных активов, контрагентах и иных обстоятельствах, имеющих значение для оценки риска ФПД/ЛПД.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Банк учитывает доступную и достоверную информацию о возможной связи виртуальных активов, адресов (кошельков) либо контрагентов с лицами, включенными в Санкционные перечни. Указанная информация является основанием для дополнительного анализа и применения ме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р, предусмотренных законодательством Кыргызской Республики в сфере ПФПД/ЛПД.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10-2. Внутренние меры, процедуры и системы контроля банка, должны предусматривать выявление операций и (или) сделок с виртуальными активами, имеющих признаки высокого риска.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К таким признакам могут относиться: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операции с участием поставщиков услуг виртуальных активов, по которым отсутствуют либо недостаточны доступные и достоверные сведения о лицензировании или регулировании их деятельности;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операции по которым банк не может установить адреса (кошельки) отправителя и (или) получателя виртуальных активов;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операции с виртуальными активами с использованием адресов (кошельков), по которым отсутствуют либо недостаточны сведения, необходимые для проведения надлежащей проверки клиента и оценки риска;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операции, имеющие признаки намеренного затруднения прослеживаемости происхождения и движения виртуальных активов;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операции, связанные с использованием сервисов, технологий или механизмов, направленных на сокрытие происхождения виртуальных активов либо повышение анонимности операций;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несоответствие операции сведениям о деятельности, финансовом положении, цели и предполагаемом характере деловых отношений клиента;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иные признаки, установленные внутренними документами банка, а также законодательством Кыргызской Республики в сфере ПФПД/ЛПД.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10-3. Внутренние документы банка должны предусматривать: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порядок взаимодействия с клиентами и (или) контрагентами, деятельность и (или) операции которых связаны с виртуальными активами, включая поставщиков услуг виртуальных активов;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порядок выявления, оценки, мониторинга и управления рисками, связанными с такими деловыми отношениями и операциями;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порядок применения дополнительных мер контроля и надлежащей проверки клиента при выявлении признаков повышенного риска, связанных с виртуальными активами;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иные процедуры, предусмотренные законодательством Кыргызской Республики в сфере ПФПД/ЛПД.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10-4. До установления деловых отношений с клиентами или контрагентами, деятельность и (или) операции которых связаны с виртуальными активами, банк оценивает достаточность собственных внутренних мер, процедур и систем контроля, кадровых, технических и орган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изационных ресурсов для выявления, оценки, мониторинга, управления и снижения соответствующих рисков.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Решение об установлении или продолжении деловых отношений принимается уполномоченным должностным лицом или коллегиальным органом банка в соответствии с внутренними документами банка на основании оценки рисков и результатов надлежащей проверки клиента.";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2) </w:t>
      </w:r>
      <w:hyperlink r:id="rId18" w:tooltip="https://cbd.minjust.gov.kg/860284/edition/1090005/ru#g7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главу 7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дополнить пунктами 28-1, 28-2, 28-3 следующего содержания: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"28-1. При установлении деловых отношений с клиентами/контрагентами, деятельность которых связана с виртуальными активами, а также при осуществлении операций, связанных с виртуальными активами, банк применяет риск-ориентированный подход с учетом характера 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деятельности клиента и (или) контрагента клиента, вида и цели деловых отношений, используемых каналов проведения операций, юрисдикции, степени прозрачности операций, доступности для банка сведений об операции и ее участниках, а также иных обстоятельств, им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еющих значение для оценки риска ФПД/ЛПД.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28-2. Банк получает и проверяет сведения и документы, которые необходимы для проведения надлежащей проверки клиента и оценки рисков, связанных с деловыми отношениями и операциями, указанными в пункте 10-1 настоящего Положения, в соответствии с законодатель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ством Кыргызской Республики в сфере ПФПД/ЛПД и внутренними документами банка.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При оценке риска банк учитывает сведения о характере деятельности клиента, цели и предполагаемом характере деловых отношений, источнике происхождения денежных средств и иного имущества, предполагаемых объемах и видах операций, странах (территориях) осущест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вления деятельности, используемых платежных и иных каналах, а также иные доступные банку сведения, имеющие значение для оценки риска ПФПД/ЛПД.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28-3. При установлении деловых отношений с клиентом и (или) контрагентом, осуществляющим деятельность в сфере виртуальных активов, банк принимает разумные и соразмерные уровню риска меры по установлению его статуса, включая проверку наличия лицензии, регис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трации или иного разрешения в соответствии с законодательством Кыргызской Республики в сфере ПФПД/ЛПД.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Отсутствие либо недостаточность сведений о статусе контрагента учитывается банком при оценке уровня риска и является основанием для запроса дополнительных сведений и документов, применения дополнительных мер контроля или иных мер, предусмотренных законодат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ельством Кыргызской Республики в сфере ПФПД/ЛПД.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Банк учитывает происхождение виртуальных активов и источники средств клиента при оценке рисков, связанных с операциями с виртуальными активами.";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3) пункт 39 дополнить абзацами следующего содержания: 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"Банк учитывает риски, связанные с виртуальными активами, использованием технологий распределенных реестров, а также возможным использованием банковских услуг и продуктов для расчетов по операциям с виртуальными активами, включая операции между пользовател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ями, при которых поставщик услуг виртуальных активов или иной обязанный субъект не участвует в переводе виртуальных активов (P2P-операции).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Банк принимает разумные и соразмерные уровню риска меры по выявлению операций, имеющих признаки возможного использования банковских услуг и продуктов для расчетов по операциям с виртуальными активами, в пределах информации, доступной банку при проведении н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адлежащей проверки клиента, мониторинге деловых отношений и осуществлении банковских операций.";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4) дополнить пунктом 39-4 следующего содержания: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"39-4. В случае отсутствия либо недостаточности сведений и документов банк запрашивает дополнительные сведения и документы, применяет дополнительные меры надлежащей проверки клиента и иные меры, предусмотренные законодательством Кыргызской Республики в сфе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ре ПФПД/ЛПД и внутренними документами банка. В случае невозможности проведения надлежащей проверки клиента банк действует в соответствии с пунктом 39-2 настоящего Положения.".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2. Настоящее постановление вступает в силу по истечении 15 (пятнадцати) дней со дня официального опубликования.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3. Юридическому управлению: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со дня получения соответствующих документов в течение 3 (трех) рабочих дней опубликовать настоящее постановление на официальном интернет-сайте Национального банка Кыргызской Республики;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4. Управлению цифровых финансовых технологий после официального опубликования в течение 3 (трех) рабочих дней довести настоящее постановление до сведения ОЮЛ "Союз банков Кыргызстана", коммерческих банков, ОЮЛ "Ассоциация Микрофинансовых Организаций", микр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офинансовых компаний, привлекающих депозиты, ОАО "Финансовая компания кредитных союзов".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5. Отделу "Секретариат Правления" в течение 3 (трех) рабочих дней со дня принятия настоящего постановления довести его до сведения структурных подразделений, областных управлений и Представительства Национального банка Кыргызской Республики в Баткенской об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ласти.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управление цифровых финансовых технологий.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360" w:before="0"/>
        <w:ind w:right="0" w:firstLine="0" w:left="0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</w:p>
    <w:tbl>
      <w:tblPr>
        <w:tblStyle w:val="683"/>
        <w:tblW w:w="0" w:type="auto"/>
        <w:tblBorders/>
        <w:tblLayout w:type="fixed"/>
        <w:tblLook w:val="04A0" w:firstRow="1" w:lastRow="0" w:firstColumn="1" w:lastColumn="0" w:noHBand="0" w:noVBand="1"/>
      </w:tblPr>
      <w:tblGrid>
        <w:gridCol w:w="4857"/>
        <w:gridCol w:w="5915"/>
        <w:gridCol w:w="3798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57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firstLine="0"/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</w:rPr>
              <w:t xml:space="preserve">Председатель</w:t>
            </w:r>
            <w:r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915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/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798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firstLine="0"/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</w:rPr>
              <w:t xml:space="preserve">А. Бекетаев</w:t>
            </w:r>
            <w:r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360" w:before="0"/>
        <w:ind w:right="0" w:firstLine="0" w:left="0"/>
        <w:rPr>
          <w:b/>
          <w:bCs/>
          <w:sz w:val="24"/>
          <w:szCs w:val="24"/>
        </w:rPr>
      </w:pPr>
      <w:r>
        <w:rPr>
          <w:rFonts w:ascii="Arial" w:hAnsi="Arial" w:eastAsia="Arial" w:cs="Arial"/>
          <w:b/>
          <w:bCs/>
          <w:color w:val="000000"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Bdr/>
        <w:spacing w:after="360"/>
        <w:ind w:right="0" w:firstLine="0" w:left="0"/>
        <w:jc w:val="center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pBdr/>
        <w:spacing w:after="360"/>
        <w:ind w:right="0" w:firstLine="0" w:left="0"/>
        <w:jc w:val="center"/>
        <w:rPr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sectPr>
      <w:footnotePr/>
      <w:endnotePr/>
      <w:type w:val="nextPage"/>
      <w:pgSz w:h="11906" w:orient="landscape" w:w="16838"/>
      <w:pgMar w:top="1701" w:right="1134" w:bottom="850" w:left="1134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87">
    <w:name w:val="FollowedHyperlink"/>
    <w:basedOn w:val="835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character" w:styleId="665">
    <w:name w:val="Heading 1 Char"/>
    <w:basedOn w:val="835"/>
    <w:link w:val="826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666">
    <w:name w:val="Heading 2 Char"/>
    <w:basedOn w:val="835"/>
    <w:link w:val="827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667">
    <w:name w:val="Heading 3 Char"/>
    <w:basedOn w:val="835"/>
    <w:link w:val="828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668">
    <w:name w:val="Heading 4 Char"/>
    <w:basedOn w:val="835"/>
    <w:link w:val="829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669">
    <w:name w:val="Heading 5 Char"/>
    <w:basedOn w:val="835"/>
    <w:link w:val="830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670">
    <w:name w:val="Heading 6 Char"/>
    <w:basedOn w:val="835"/>
    <w:link w:val="831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671">
    <w:name w:val="Heading 7 Char"/>
    <w:basedOn w:val="835"/>
    <w:link w:val="832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2">
    <w:name w:val="Heading 8 Char"/>
    <w:basedOn w:val="835"/>
    <w:link w:val="833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673">
    <w:name w:val="Heading 9 Char"/>
    <w:basedOn w:val="835"/>
    <w:link w:val="834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674">
    <w:name w:val="Title Char"/>
    <w:basedOn w:val="835"/>
    <w:link w:val="839"/>
    <w:uiPriority w:val="10"/>
    <w:pPr>
      <w:pBdr/>
      <w:spacing/>
      <w:ind/>
    </w:pPr>
    <w:rPr>
      <w:sz w:val="48"/>
      <w:szCs w:val="48"/>
    </w:rPr>
  </w:style>
  <w:style w:type="character" w:styleId="675">
    <w:name w:val="Subtitle Char"/>
    <w:basedOn w:val="835"/>
    <w:link w:val="856"/>
    <w:uiPriority w:val="11"/>
    <w:pPr>
      <w:pBdr/>
      <w:spacing/>
      <w:ind/>
    </w:pPr>
    <w:rPr>
      <w:sz w:val="24"/>
      <w:szCs w:val="24"/>
    </w:rPr>
  </w:style>
  <w:style w:type="character" w:styleId="676">
    <w:name w:val="Quote Char"/>
    <w:link w:val="861"/>
    <w:uiPriority w:val="29"/>
    <w:pPr>
      <w:pBdr/>
      <w:spacing/>
      <w:ind/>
    </w:pPr>
    <w:rPr>
      <w:i/>
    </w:rPr>
  </w:style>
  <w:style w:type="character" w:styleId="677">
    <w:name w:val="Intense Quote Char"/>
    <w:link w:val="863"/>
    <w:uiPriority w:val="30"/>
    <w:pPr>
      <w:pBdr/>
      <w:spacing/>
      <w:ind/>
    </w:pPr>
    <w:rPr>
      <w:i/>
    </w:rPr>
  </w:style>
  <w:style w:type="paragraph" w:styleId="678">
    <w:name w:val="Header"/>
    <w:basedOn w:val="825"/>
    <w:link w:val="679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679">
    <w:name w:val="Header Char"/>
    <w:basedOn w:val="835"/>
    <w:link w:val="678"/>
    <w:uiPriority w:val="99"/>
    <w:pPr>
      <w:pBdr/>
      <w:spacing/>
      <w:ind/>
    </w:pPr>
  </w:style>
  <w:style w:type="paragraph" w:styleId="680">
    <w:name w:val="Footer"/>
    <w:basedOn w:val="825"/>
    <w:link w:val="682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681">
    <w:name w:val="Footer Char"/>
    <w:basedOn w:val="835"/>
    <w:link w:val="680"/>
    <w:uiPriority w:val="99"/>
    <w:pPr>
      <w:pBdr/>
      <w:spacing/>
      <w:ind/>
    </w:pPr>
  </w:style>
  <w:style w:type="character" w:styleId="682">
    <w:name w:val="Caption Char"/>
    <w:basedOn w:val="853"/>
    <w:link w:val="680"/>
    <w:uiPriority w:val="99"/>
    <w:pPr>
      <w:pBdr/>
      <w:spacing/>
      <w:ind/>
    </w:pPr>
  </w:style>
  <w:style w:type="table" w:styleId="683">
    <w:name w:val="Table Grid"/>
    <w:basedOn w:val="836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4">
    <w:name w:val="Table Grid Light"/>
    <w:basedOn w:val="836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5">
    <w:name w:val="Plain Table 1"/>
    <w:basedOn w:val="836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6">
    <w:name w:val="Plain Table 2"/>
    <w:basedOn w:val="836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7">
    <w:name w:val="Plain Table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8">
    <w:name w:val="Plain Table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9">
    <w:name w:val="Plain Table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0">
    <w:name w:val="Grid Table 1 Light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1">
    <w:name w:val="Grid Table 1 Light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2">
    <w:name w:val="Grid Table 1 Light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3">
    <w:name w:val="Grid Table 1 Light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4">
    <w:name w:val="Grid Table 1 Light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5">
    <w:name w:val="Grid Table 1 Light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6">
    <w:name w:val="Grid Table 1 Light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7">
    <w:name w:val="Grid Table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8">
    <w:name w:val="Grid Table 2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9">
    <w:name w:val="Grid Table 2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0">
    <w:name w:val="Grid Table 2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1">
    <w:name w:val="Grid Table 2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Grid Table 2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Grid Table 2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Grid Table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Grid Table 3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Grid Table 3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Grid Table 3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3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3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3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4"/>
    <w:basedOn w:val="8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4 - Accent 1"/>
    <w:basedOn w:val="8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1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1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4 - Accent 2"/>
    <w:basedOn w:val="8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4 - Accent 3"/>
    <w:basedOn w:val="8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4 - Accent 4"/>
    <w:basedOn w:val="8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4 - Accent 5"/>
    <w:basedOn w:val="8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4 - Accent 6"/>
    <w:basedOn w:val="8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5 Dark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5 Dark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dc5e0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dc5e0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5 Dark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1adac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1adac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5 Dark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dfb2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dfb2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5 Dark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4b7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4b7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5 Dark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bd9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bd9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5 Dark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d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d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6 Colorful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6 Colorful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6 Colorful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6 Colorful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6 Colorful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6 Colorful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6 Colorful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7 Colorful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7 Colorful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7 Colorful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7 Colorful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7 Colorful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7 Colorful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7 Colorful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List Table 1 Light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List Table 1 Light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List Table 1 Light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List Table 1 Light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List Table 1 Light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List Table 1 Light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List Table 1 Light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List Table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List Table 2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List Table 2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List Table 2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List Table 2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List Table 2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List Table 2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List Table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List Table 3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List Table 3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List Table 3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3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3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3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4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4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4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4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4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4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5 Dark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5 Dark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5 Dark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5 Dark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5 Dark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5 Dark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5 Dark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6 Colorful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6 Colorful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6 Colorful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6 Colorful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6 Colorful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6 Colorful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6 Colorful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7 Colorful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7 Colorful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7 Colorful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7 Colorful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7 Colorful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7 Colorful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7 Colorful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ned - Accent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ned - Accent 1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ned - Accent 2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ned - Accent 3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ned - Accent 4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ned - Accent 5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ned - Accent 6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Bordered &amp; Lined - Accent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Bordered &amp; Lined - Accent 1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Bordered &amp; Lined - Accent 2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Bordered &amp; Lined - Accent 3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Bordered &amp; Lined - Accent 4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Bordered &amp; Lined - Accent 5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Bordered &amp; Lined - Accent 6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Bordered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Bordered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Bordered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Bordered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Bordered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Bordered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Bordered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09">
    <w:name w:val="footnote text"/>
    <w:basedOn w:val="825"/>
    <w:link w:val="810"/>
    <w:uiPriority w:val="99"/>
    <w:semiHidden/>
    <w:unhideWhenUsed/>
    <w:pPr>
      <w:pBdr/>
      <w:spacing w:after="40" w:line="240" w:lineRule="auto"/>
      <w:ind/>
    </w:pPr>
    <w:rPr>
      <w:sz w:val="18"/>
    </w:rPr>
  </w:style>
  <w:style w:type="character" w:styleId="810">
    <w:name w:val="Footnote Text Char"/>
    <w:link w:val="809"/>
    <w:uiPriority w:val="99"/>
    <w:pPr>
      <w:pBdr/>
      <w:spacing/>
      <w:ind/>
    </w:pPr>
    <w:rPr>
      <w:sz w:val="18"/>
    </w:rPr>
  </w:style>
  <w:style w:type="character" w:styleId="811">
    <w:name w:val="footnote reference"/>
    <w:basedOn w:val="835"/>
    <w:uiPriority w:val="99"/>
    <w:unhideWhenUsed/>
    <w:pPr>
      <w:pBdr/>
      <w:spacing/>
      <w:ind/>
    </w:pPr>
    <w:rPr>
      <w:vertAlign w:val="superscript"/>
    </w:rPr>
  </w:style>
  <w:style w:type="paragraph" w:styleId="812">
    <w:name w:val="endnote text"/>
    <w:basedOn w:val="825"/>
    <w:link w:val="813"/>
    <w:uiPriority w:val="99"/>
    <w:semiHidden/>
    <w:unhideWhenUsed/>
    <w:pPr>
      <w:pBdr/>
      <w:spacing w:after="0" w:line="240" w:lineRule="auto"/>
      <w:ind/>
    </w:pPr>
    <w:rPr>
      <w:sz w:val="20"/>
    </w:rPr>
  </w:style>
  <w:style w:type="character" w:styleId="813">
    <w:name w:val="Endnote Text Char"/>
    <w:link w:val="812"/>
    <w:uiPriority w:val="99"/>
    <w:pPr>
      <w:pBdr/>
      <w:spacing/>
      <w:ind/>
    </w:pPr>
    <w:rPr>
      <w:sz w:val="20"/>
    </w:rPr>
  </w:style>
  <w:style w:type="character" w:styleId="814">
    <w:name w:val="endnote reference"/>
    <w:basedOn w:val="835"/>
    <w:uiPriority w:val="99"/>
    <w:semiHidden/>
    <w:unhideWhenUsed/>
    <w:pPr>
      <w:pBdr/>
      <w:spacing/>
      <w:ind/>
    </w:pPr>
    <w:rPr>
      <w:vertAlign w:val="superscript"/>
    </w:rPr>
  </w:style>
  <w:style w:type="paragraph" w:styleId="815">
    <w:name w:val="toc 1"/>
    <w:basedOn w:val="825"/>
    <w:next w:val="825"/>
    <w:uiPriority w:val="39"/>
    <w:unhideWhenUsed/>
    <w:pPr>
      <w:pBdr/>
      <w:spacing w:after="57"/>
      <w:ind w:right="0" w:firstLine="0" w:left="0"/>
    </w:pPr>
  </w:style>
  <w:style w:type="paragraph" w:styleId="816">
    <w:name w:val="toc 2"/>
    <w:basedOn w:val="825"/>
    <w:next w:val="825"/>
    <w:uiPriority w:val="39"/>
    <w:unhideWhenUsed/>
    <w:pPr>
      <w:pBdr/>
      <w:spacing w:after="57"/>
      <w:ind w:right="0" w:firstLine="0" w:left="283"/>
    </w:pPr>
  </w:style>
  <w:style w:type="paragraph" w:styleId="817">
    <w:name w:val="toc 3"/>
    <w:basedOn w:val="825"/>
    <w:next w:val="825"/>
    <w:uiPriority w:val="39"/>
    <w:unhideWhenUsed/>
    <w:pPr>
      <w:pBdr/>
      <w:spacing w:after="57"/>
      <w:ind w:right="0" w:firstLine="0" w:left="567"/>
    </w:pPr>
  </w:style>
  <w:style w:type="paragraph" w:styleId="818">
    <w:name w:val="toc 4"/>
    <w:basedOn w:val="825"/>
    <w:next w:val="825"/>
    <w:uiPriority w:val="39"/>
    <w:unhideWhenUsed/>
    <w:pPr>
      <w:pBdr/>
      <w:spacing w:after="57"/>
      <w:ind w:right="0" w:firstLine="0" w:left="850"/>
    </w:pPr>
  </w:style>
  <w:style w:type="paragraph" w:styleId="819">
    <w:name w:val="toc 5"/>
    <w:basedOn w:val="825"/>
    <w:next w:val="825"/>
    <w:uiPriority w:val="39"/>
    <w:unhideWhenUsed/>
    <w:pPr>
      <w:pBdr/>
      <w:spacing w:after="57"/>
      <w:ind w:right="0" w:firstLine="0" w:left="1134"/>
    </w:pPr>
  </w:style>
  <w:style w:type="paragraph" w:styleId="820">
    <w:name w:val="toc 6"/>
    <w:basedOn w:val="825"/>
    <w:next w:val="825"/>
    <w:uiPriority w:val="39"/>
    <w:unhideWhenUsed/>
    <w:pPr>
      <w:pBdr/>
      <w:spacing w:after="57"/>
      <w:ind w:right="0" w:firstLine="0" w:left="1417"/>
    </w:pPr>
  </w:style>
  <w:style w:type="paragraph" w:styleId="821">
    <w:name w:val="toc 7"/>
    <w:basedOn w:val="825"/>
    <w:next w:val="825"/>
    <w:uiPriority w:val="39"/>
    <w:unhideWhenUsed/>
    <w:pPr>
      <w:pBdr/>
      <w:spacing w:after="57"/>
      <w:ind w:right="0" w:firstLine="0" w:left="1701"/>
    </w:pPr>
  </w:style>
  <w:style w:type="paragraph" w:styleId="822">
    <w:name w:val="toc 8"/>
    <w:basedOn w:val="825"/>
    <w:next w:val="825"/>
    <w:uiPriority w:val="39"/>
    <w:unhideWhenUsed/>
    <w:pPr>
      <w:pBdr/>
      <w:spacing w:after="57"/>
      <w:ind w:right="0" w:firstLine="0" w:left="1984"/>
    </w:pPr>
  </w:style>
  <w:style w:type="paragraph" w:styleId="823">
    <w:name w:val="toc 9"/>
    <w:basedOn w:val="825"/>
    <w:next w:val="825"/>
    <w:uiPriority w:val="39"/>
    <w:unhideWhenUsed/>
    <w:pPr>
      <w:pBdr/>
      <w:spacing w:after="57"/>
      <w:ind w:right="0" w:firstLine="0" w:left="2268"/>
    </w:pPr>
  </w:style>
  <w:style w:type="paragraph" w:styleId="824">
    <w:name w:val="table of figures"/>
    <w:basedOn w:val="825"/>
    <w:next w:val="825"/>
    <w:uiPriority w:val="99"/>
    <w:unhideWhenUsed/>
    <w:pPr>
      <w:pBdr/>
      <w:spacing w:after="0" w:afterAutospacing="0"/>
      <w:ind/>
    </w:pPr>
  </w:style>
  <w:style w:type="paragraph" w:styleId="825" w:default="1">
    <w:name w:val="Normal"/>
    <w:qFormat/>
    <w:pPr>
      <w:pBdr/>
      <w:spacing w:after="120" w:line="240" w:lineRule="auto"/>
      <w:ind w:firstLine="397"/>
      <w:jc w:val="both"/>
    </w:pPr>
    <w:rPr>
      <w:rFonts w:ascii="Arial" w:hAnsi="Arial" w:cs="Arial" w:eastAsiaTheme="minorEastAsia"/>
      <w:sz w:val="24"/>
      <w:szCs w:val="24"/>
      <w:lang w:eastAsia="ru-RU"/>
    </w:rPr>
  </w:style>
  <w:style w:type="paragraph" w:styleId="826">
    <w:name w:val="Heading 1"/>
    <w:basedOn w:val="825"/>
    <w:next w:val="825"/>
    <w:link w:val="844"/>
    <w:uiPriority w:val="9"/>
    <w:qFormat/>
    <w:pPr>
      <w:keepNext w:val="true"/>
      <w:keepLines w:val="true"/>
      <w:pBdr/>
      <w:spacing w:after="0" w:before="480"/>
      <w:ind w:firstLine="0"/>
      <w:jc w:val="center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paragraph" w:styleId="827">
    <w:name w:val="Heading 2"/>
    <w:basedOn w:val="825"/>
    <w:next w:val="825"/>
    <w:link w:val="845"/>
    <w:uiPriority w:val="9"/>
    <w:qFormat/>
    <w:pPr>
      <w:keepNext w:val="true"/>
      <w:keepLines w:val="true"/>
      <w:pBdr/>
      <w:spacing w:after="0" w:before="200"/>
      <w:ind w:firstLine="0"/>
      <w:jc w:val="center"/>
      <w:outlineLvl w:val="1"/>
    </w:pPr>
    <w:rPr>
      <w:rFonts w:eastAsiaTheme="majorEastAsia" w:cstheme="majorBidi"/>
      <w:b/>
      <w:bCs/>
      <w:szCs w:val="26"/>
      <w:lang w:eastAsia="en-US"/>
    </w:rPr>
  </w:style>
  <w:style w:type="paragraph" w:styleId="828">
    <w:name w:val="Heading 3"/>
    <w:basedOn w:val="825"/>
    <w:next w:val="825"/>
    <w:link w:val="846"/>
    <w:uiPriority w:val="9"/>
    <w:qFormat/>
    <w:pPr>
      <w:keepNext w:val="true"/>
      <w:keepLines w:val="true"/>
      <w:pBdr/>
      <w:spacing w:before="200"/>
      <w:ind/>
      <w:jc w:val="left"/>
      <w:outlineLvl w:val="2"/>
    </w:pPr>
    <w:rPr>
      <w:rFonts w:eastAsiaTheme="majorEastAsia" w:cstheme="majorBidi"/>
      <w:b/>
      <w:bCs/>
      <w:szCs w:val="22"/>
      <w:lang w:eastAsia="en-US"/>
    </w:rPr>
  </w:style>
  <w:style w:type="paragraph" w:styleId="829">
    <w:name w:val="Heading 4"/>
    <w:basedOn w:val="825"/>
    <w:next w:val="825"/>
    <w:link w:val="847"/>
    <w:uiPriority w:val="9"/>
    <w:qFormat/>
    <w:pPr>
      <w:keepNext w:val="true"/>
      <w:keepLines w:val="true"/>
      <w:pBdr/>
      <w:spacing w:after="0" w:before="200"/>
      <w:ind/>
      <w:jc w:val="left"/>
      <w:outlineLvl w:val="3"/>
    </w:pPr>
    <w:rPr>
      <w:rFonts w:eastAsiaTheme="majorEastAsia" w:cstheme="majorBidi"/>
      <w:b/>
      <w:bCs/>
      <w:i/>
      <w:iCs/>
      <w:szCs w:val="22"/>
      <w:lang w:eastAsia="en-US"/>
    </w:rPr>
  </w:style>
  <w:style w:type="paragraph" w:styleId="830">
    <w:name w:val="Heading 5"/>
    <w:basedOn w:val="825"/>
    <w:next w:val="825"/>
    <w:link w:val="848"/>
    <w:uiPriority w:val="9"/>
    <w:semiHidden/>
    <w:qFormat/>
    <w:pPr>
      <w:keepNext w:val="true"/>
      <w:keepLines w:val="true"/>
      <w:pBdr/>
      <w:spacing w:after="0" w:before="200"/>
      <w:ind/>
      <w:outlineLvl w:val="4"/>
    </w:pPr>
    <w:rPr>
      <w:rFonts w:asciiTheme="majorHAnsi" w:hAnsiTheme="majorHAnsi" w:eastAsiaTheme="majorEastAsia" w:cstheme="majorBidi"/>
      <w:color w:val="243f60" w:themeColor="accent1" w:themeShade="7F"/>
      <w:szCs w:val="22"/>
      <w:lang w:eastAsia="en-US"/>
    </w:rPr>
  </w:style>
  <w:style w:type="paragraph" w:styleId="831">
    <w:name w:val="Heading 6"/>
    <w:basedOn w:val="825"/>
    <w:next w:val="825"/>
    <w:link w:val="849"/>
    <w:uiPriority w:val="9"/>
    <w:semiHidden/>
    <w:qFormat/>
    <w:pPr>
      <w:keepNext w:val="true"/>
      <w:keepLines w:val="true"/>
      <w:pBdr/>
      <w:spacing w:after="0" w:before="200"/>
      <w:ind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  <w:szCs w:val="22"/>
      <w:lang w:eastAsia="en-US"/>
    </w:rPr>
  </w:style>
  <w:style w:type="paragraph" w:styleId="832">
    <w:name w:val="Heading 7"/>
    <w:basedOn w:val="825"/>
    <w:next w:val="825"/>
    <w:link w:val="850"/>
    <w:uiPriority w:val="9"/>
    <w:semiHidden/>
    <w:qFormat/>
    <w:pPr>
      <w:keepNext w:val="true"/>
      <w:keepLines w:val="true"/>
      <w:pBdr/>
      <w:spacing w:after="0" w:before="200"/>
      <w:ind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:szCs w:val="22"/>
      <w:lang w:eastAsia="en-US"/>
    </w:rPr>
  </w:style>
  <w:style w:type="paragraph" w:styleId="833">
    <w:name w:val="Heading 8"/>
    <w:basedOn w:val="825"/>
    <w:next w:val="825"/>
    <w:link w:val="851"/>
    <w:uiPriority w:val="9"/>
    <w:semiHidden/>
    <w:qFormat/>
    <w:pPr>
      <w:keepNext w:val="true"/>
      <w:keepLines w:val="true"/>
      <w:pBdr/>
      <w:spacing w:after="0" w:before="200"/>
      <w:ind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:lang w:eastAsia="en-US"/>
    </w:rPr>
  </w:style>
  <w:style w:type="paragraph" w:styleId="834">
    <w:name w:val="Heading 9"/>
    <w:basedOn w:val="825"/>
    <w:next w:val="825"/>
    <w:link w:val="852"/>
    <w:uiPriority w:val="9"/>
    <w:semiHidden/>
    <w:qFormat/>
    <w:pPr>
      <w:keepNext w:val="true"/>
      <w:keepLines w:val="true"/>
      <w:pBdr/>
      <w:spacing w:after="0" w:before="200"/>
      <w:ind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:lang w:eastAsia="en-US"/>
    </w:rPr>
  </w:style>
  <w:style w:type="character" w:styleId="835" w:default="1">
    <w:name w:val="Default Paragraph Font"/>
    <w:uiPriority w:val="1"/>
    <w:semiHidden/>
    <w:unhideWhenUsed/>
    <w:pPr>
      <w:pBdr/>
      <w:spacing/>
      <w:ind/>
    </w:pPr>
  </w:style>
  <w:style w:type="table" w:styleId="836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37" w:default="1">
    <w:name w:val="No List"/>
    <w:uiPriority w:val="99"/>
    <w:semiHidden/>
    <w:unhideWhenUsed/>
    <w:pPr>
      <w:pBdr/>
      <w:spacing/>
      <w:ind/>
    </w:pPr>
  </w:style>
  <w:style w:type="paragraph" w:styleId="838" w:customStyle="1">
    <w:name w:val="Реквизит"/>
    <w:basedOn w:val="825"/>
    <w:pPr>
      <w:pBdr/>
      <w:spacing w:after="240"/>
      <w:ind w:firstLine="0"/>
      <w:jc w:val="left"/>
    </w:pPr>
    <w:rPr>
      <w:rFonts w:eastAsiaTheme="minorHAnsi" w:cstheme="minorBidi"/>
      <w:szCs w:val="22"/>
      <w:lang w:eastAsia="en-US"/>
    </w:rPr>
  </w:style>
  <w:style w:type="paragraph" w:styleId="839">
    <w:name w:val="Title"/>
    <w:basedOn w:val="825"/>
    <w:link w:val="840"/>
    <w:uiPriority w:val="10"/>
    <w:qFormat/>
    <w:pPr>
      <w:pBdr/>
      <w:spacing w:after="480"/>
      <w:ind w:firstLine="0"/>
      <w:jc w:val="center"/>
    </w:pPr>
    <w:rPr>
      <w:rFonts w:cstheme="minorBidi"/>
      <w:b/>
      <w:bCs/>
      <w:spacing w:val="5"/>
      <w:sz w:val="28"/>
      <w:szCs w:val="28"/>
      <w:lang w:eastAsia="en-US"/>
    </w:rPr>
  </w:style>
  <w:style w:type="character" w:styleId="840" w:customStyle="1">
    <w:name w:val="Заголовок Знак"/>
    <w:basedOn w:val="835"/>
    <w:link w:val="839"/>
    <w:uiPriority w:val="10"/>
    <w:pPr>
      <w:pBdr/>
      <w:spacing/>
      <w:ind/>
    </w:pPr>
    <w:rPr>
      <w:rFonts w:ascii="Arial" w:hAnsi="Arial" w:eastAsiaTheme="minorEastAsia"/>
      <w:b/>
      <w:bCs/>
      <w:spacing w:val="5"/>
      <w:sz w:val="28"/>
      <w:szCs w:val="28"/>
    </w:rPr>
  </w:style>
  <w:style w:type="paragraph" w:styleId="841">
    <w:name w:val="Message Header"/>
    <w:basedOn w:val="825"/>
    <w:link w:val="842"/>
    <w:uiPriority w:val="99"/>
    <w:pPr>
      <w:pBdr/>
      <w:spacing w:after="480"/>
      <w:ind w:firstLine="0"/>
      <w:jc w:val="center"/>
    </w:pPr>
    <w:rPr>
      <w:rFonts w:eastAsiaTheme="majorEastAsia" w:cstheme="majorBidi"/>
      <w:b/>
      <w:sz w:val="32"/>
      <w:lang w:eastAsia="en-US"/>
    </w:rPr>
  </w:style>
  <w:style w:type="character" w:styleId="842" w:customStyle="1">
    <w:name w:val="Шапка Знак"/>
    <w:basedOn w:val="835"/>
    <w:link w:val="841"/>
    <w:uiPriority w:val="99"/>
    <w:pPr>
      <w:pBdr/>
      <w:spacing/>
      <w:ind/>
    </w:pPr>
    <w:rPr>
      <w:rFonts w:ascii="Arial" w:hAnsi="Arial" w:eastAsiaTheme="majorEastAsia" w:cstheme="majorBidi"/>
      <w:b/>
      <w:sz w:val="32"/>
      <w:szCs w:val="24"/>
    </w:rPr>
  </w:style>
  <w:style w:type="paragraph" w:styleId="843">
    <w:name w:val="No Spacing"/>
    <w:uiPriority w:val="1"/>
    <w:semiHidden/>
    <w:qFormat/>
    <w:pPr>
      <w:pBdr/>
      <w:spacing w:after="0" w:line="240" w:lineRule="auto"/>
      <w:ind/>
    </w:pPr>
    <w:rPr>
      <w:rFonts w:eastAsiaTheme="minorEastAsia"/>
    </w:rPr>
  </w:style>
  <w:style w:type="character" w:styleId="844" w:customStyle="1">
    <w:name w:val="Заголовок 1 Знак"/>
    <w:basedOn w:val="835"/>
    <w:link w:val="826"/>
    <w:uiPriority w:val="9"/>
    <w:pPr>
      <w:pBdr/>
      <w:spacing/>
      <w:ind/>
    </w:pPr>
    <w:rPr>
      <w:rFonts w:ascii="Arial" w:hAnsi="Arial" w:eastAsiaTheme="majorEastAsia" w:cstheme="majorBidi"/>
      <w:b/>
      <w:bCs/>
      <w:sz w:val="28"/>
      <w:szCs w:val="28"/>
    </w:rPr>
  </w:style>
  <w:style w:type="character" w:styleId="845" w:customStyle="1">
    <w:name w:val="Заголовок 2 Знак"/>
    <w:basedOn w:val="835"/>
    <w:link w:val="827"/>
    <w:uiPriority w:val="9"/>
    <w:pPr>
      <w:pBdr/>
      <w:spacing/>
      <w:ind/>
    </w:pPr>
    <w:rPr>
      <w:rFonts w:ascii="Arial" w:hAnsi="Arial" w:eastAsiaTheme="majorEastAsia" w:cstheme="majorBidi"/>
      <w:b/>
      <w:bCs/>
      <w:sz w:val="24"/>
      <w:szCs w:val="26"/>
    </w:rPr>
  </w:style>
  <w:style w:type="character" w:styleId="846" w:customStyle="1">
    <w:name w:val="Заголовок 3 Знак"/>
    <w:basedOn w:val="835"/>
    <w:link w:val="828"/>
    <w:uiPriority w:val="9"/>
    <w:pPr>
      <w:pBdr/>
      <w:spacing/>
      <w:ind/>
    </w:pPr>
    <w:rPr>
      <w:rFonts w:ascii="Arial" w:hAnsi="Arial" w:eastAsiaTheme="majorEastAsia" w:cstheme="majorBidi"/>
      <w:b/>
      <w:bCs/>
      <w:sz w:val="24"/>
    </w:rPr>
  </w:style>
  <w:style w:type="character" w:styleId="847" w:customStyle="1">
    <w:name w:val="Заголовок 4 Знак"/>
    <w:basedOn w:val="835"/>
    <w:link w:val="829"/>
    <w:uiPriority w:val="9"/>
    <w:pPr>
      <w:pBdr/>
      <w:spacing/>
      <w:ind/>
    </w:pPr>
    <w:rPr>
      <w:rFonts w:ascii="Arial" w:hAnsi="Arial" w:eastAsiaTheme="majorEastAsia" w:cstheme="majorBidi"/>
      <w:b/>
      <w:bCs/>
      <w:i/>
      <w:iCs/>
      <w:sz w:val="24"/>
    </w:rPr>
  </w:style>
  <w:style w:type="character" w:styleId="848" w:customStyle="1">
    <w:name w:val="Заголовок 5 Знак"/>
    <w:basedOn w:val="835"/>
    <w:link w:val="830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243f60" w:themeColor="accent1" w:themeShade="7F"/>
    </w:rPr>
  </w:style>
  <w:style w:type="character" w:styleId="849" w:customStyle="1">
    <w:name w:val="Заголовок 6 Знак"/>
    <w:basedOn w:val="835"/>
    <w:link w:val="831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850" w:customStyle="1">
    <w:name w:val="Заголовок 7 Знак"/>
    <w:basedOn w:val="835"/>
    <w:link w:val="832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851" w:customStyle="1">
    <w:name w:val="Заголовок 8 Знак"/>
    <w:basedOn w:val="835"/>
    <w:link w:val="833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852" w:customStyle="1">
    <w:name w:val="Заголовок 9 Знак"/>
    <w:basedOn w:val="835"/>
    <w:link w:val="834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853">
    <w:name w:val="Caption"/>
    <w:basedOn w:val="825"/>
    <w:next w:val="825"/>
    <w:uiPriority w:val="35"/>
    <w:semiHidden/>
    <w:qFormat/>
    <w:pPr>
      <w:pBdr/>
      <w:spacing/>
      <w:ind/>
    </w:pPr>
    <w:rPr>
      <w:rFonts w:eastAsiaTheme="minorHAnsi" w:cstheme="minorBidi"/>
      <w:b/>
      <w:bCs/>
      <w:color w:val="4f81bd" w:themeColor="accent1"/>
      <w:sz w:val="18"/>
      <w:szCs w:val="18"/>
      <w:lang w:eastAsia="en-US"/>
    </w:rPr>
  </w:style>
  <w:style w:type="paragraph" w:styleId="854">
    <w:name w:val="Signature"/>
    <w:basedOn w:val="825"/>
    <w:link w:val="855"/>
    <w:uiPriority w:val="99"/>
    <w:pPr>
      <w:pBdr/>
      <w:spacing w:after="0"/>
      <w:ind w:firstLine="0"/>
      <w:jc w:val="left"/>
    </w:pPr>
    <w:rPr>
      <w:rFonts w:eastAsiaTheme="minorHAnsi" w:cstheme="minorBidi"/>
      <w:b/>
      <w:szCs w:val="22"/>
      <w:lang w:eastAsia="en-US"/>
    </w:rPr>
  </w:style>
  <w:style w:type="character" w:styleId="855" w:customStyle="1">
    <w:name w:val="Подпись Знак"/>
    <w:basedOn w:val="835"/>
    <w:link w:val="854"/>
    <w:uiPriority w:val="99"/>
    <w:pPr>
      <w:pBdr/>
      <w:spacing/>
      <w:ind/>
    </w:pPr>
    <w:rPr>
      <w:rFonts w:ascii="Arial" w:hAnsi="Arial"/>
      <w:b/>
      <w:sz w:val="24"/>
    </w:rPr>
  </w:style>
  <w:style w:type="paragraph" w:styleId="856">
    <w:name w:val="Subtitle"/>
    <w:basedOn w:val="825"/>
    <w:next w:val="825"/>
    <w:link w:val="857"/>
    <w:uiPriority w:val="11"/>
    <w:semiHidden/>
    <w:qFormat/>
    <w:pPr>
      <w:numPr>
        <w:ilvl w:val="1"/>
      </w:numPr>
      <w:pBdr/>
      <w:spacing/>
      <w:ind w:firstLine="454"/>
    </w:pPr>
    <w:rPr>
      <w:rFonts w:asciiTheme="majorHAnsi" w:hAnsiTheme="majorHAnsi" w:eastAsiaTheme="majorEastAsia" w:cstheme="majorBidi"/>
      <w:i/>
      <w:iCs/>
      <w:color w:val="4f81bd" w:themeColor="accent1"/>
      <w:spacing w:val="15"/>
      <w:lang w:eastAsia="en-US"/>
    </w:rPr>
  </w:style>
  <w:style w:type="character" w:styleId="857" w:customStyle="1">
    <w:name w:val="Подзаголовок Знак"/>
    <w:basedOn w:val="835"/>
    <w:link w:val="856"/>
    <w:uiPriority w:val="11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858">
    <w:name w:val="Strong"/>
    <w:basedOn w:val="835"/>
    <w:uiPriority w:val="22"/>
    <w:semiHidden/>
    <w:qFormat/>
    <w:pPr>
      <w:pBdr/>
      <w:spacing/>
      <w:ind/>
    </w:pPr>
    <w:rPr>
      <w:b/>
      <w:bCs/>
    </w:rPr>
  </w:style>
  <w:style w:type="character" w:styleId="859">
    <w:name w:val="Emphasis"/>
    <w:basedOn w:val="835"/>
    <w:uiPriority w:val="20"/>
    <w:semiHidden/>
    <w:qFormat/>
    <w:pPr>
      <w:pBdr/>
      <w:spacing/>
      <w:ind/>
    </w:pPr>
    <w:rPr>
      <w:i/>
      <w:iCs/>
    </w:rPr>
  </w:style>
  <w:style w:type="paragraph" w:styleId="860">
    <w:name w:val="List Paragraph"/>
    <w:basedOn w:val="825"/>
    <w:uiPriority w:val="34"/>
    <w:semiHidden/>
    <w:qFormat/>
    <w:pPr>
      <w:pBdr/>
      <w:spacing/>
      <w:ind w:left="720"/>
      <w:contextualSpacing w:val="true"/>
    </w:pPr>
    <w:rPr>
      <w:rFonts w:eastAsiaTheme="minorHAnsi" w:cstheme="minorBidi"/>
      <w:szCs w:val="22"/>
      <w:lang w:eastAsia="en-US"/>
    </w:rPr>
  </w:style>
  <w:style w:type="paragraph" w:styleId="861">
    <w:name w:val="Quote"/>
    <w:basedOn w:val="825"/>
    <w:next w:val="825"/>
    <w:link w:val="862"/>
    <w:uiPriority w:val="29"/>
    <w:semiHidden/>
    <w:qFormat/>
    <w:pPr>
      <w:pBdr/>
      <w:spacing/>
      <w:ind/>
    </w:pPr>
    <w:rPr>
      <w:rFonts w:eastAsiaTheme="minorHAnsi" w:cstheme="minorBidi"/>
      <w:i/>
      <w:iCs/>
      <w:color w:val="000000" w:themeColor="text1"/>
      <w:szCs w:val="22"/>
      <w:lang w:eastAsia="en-US"/>
    </w:rPr>
  </w:style>
  <w:style w:type="character" w:styleId="862" w:customStyle="1">
    <w:name w:val="Цитата 2 Знак"/>
    <w:basedOn w:val="835"/>
    <w:link w:val="861"/>
    <w:uiPriority w:val="29"/>
    <w:semiHidden/>
    <w:pPr>
      <w:pBdr/>
      <w:spacing/>
      <w:ind/>
    </w:pPr>
    <w:rPr>
      <w:rFonts w:ascii="Arial" w:hAnsi="Arial" w:eastAsiaTheme="minorEastAsia"/>
      <w:i/>
      <w:iCs/>
      <w:color w:val="000000" w:themeColor="text1"/>
      <w:sz w:val="24"/>
    </w:rPr>
  </w:style>
  <w:style w:type="paragraph" w:styleId="863">
    <w:name w:val="Intense Quote"/>
    <w:basedOn w:val="825"/>
    <w:next w:val="825"/>
    <w:link w:val="864"/>
    <w:uiPriority w:val="30"/>
    <w:semiHidden/>
    <w:qFormat/>
    <w:pPr>
      <w:pBdr>
        <w:bottom w:val="single" w:color="4f81bd" w:themeColor="accent1" w:sz="4" w:space="4"/>
      </w:pBdr>
      <w:spacing w:after="280" w:before="200"/>
      <w:ind w:right="936" w:left="936"/>
    </w:pPr>
    <w:rPr>
      <w:rFonts w:eastAsiaTheme="minorHAnsi" w:cstheme="minorBidi"/>
      <w:b/>
      <w:bCs/>
      <w:i/>
      <w:iCs/>
      <w:color w:val="4f81bd" w:themeColor="accent1"/>
      <w:szCs w:val="22"/>
      <w:lang w:eastAsia="en-US"/>
    </w:rPr>
  </w:style>
  <w:style w:type="character" w:styleId="864" w:customStyle="1">
    <w:name w:val="Выделенная цитата Знак"/>
    <w:basedOn w:val="835"/>
    <w:link w:val="863"/>
    <w:uiPriority w:val="30"/>
    <w:semiHidden/>
    <w:pPr>
      <w:pBdr/>
      <w:spacing/>
      <w:ind/>
    </w:pPr>
    <w:rPr>
      <w:rFonts w:ascii="Arial" w:hAnsi="Arial" w:eastAsiaTheme="minorEastAsia"/>
      <w:b/>
      <w:bCs/>
      <w:i/>
      <w:iCs/>
      <w:color w:val="4f81bd" w:themeColor="accent1"/>
      <w:sz w:val="24"/>
    </w:rPr>
  </w:style>
  <w:style w:type="character" w:styleId="865">
    <w:name w:val="Subtle Emphasis"/>
    <w:basedOn w:val="835"/>
    <w:uiPriority w:val="19"/>
    <w:semiHidden/>
    <w:qFormat/>
    <w:pPr>
      <w:pBdr/>
      <w:spacing/>
      <w:ind/>
    </w:pPr>
    <w:rPr>
      <w:i/>
      <w:iCs/>
      <w:color w:val="808080" w:themeColor="text1" w:themeTint="7F"/>
    </w:rPr>
  </w:style>
  <w:style w:type="character" w:styleId="866">
    <w:name w:val="Intense Emphasis"/>
    <w:basedOn w:val="835"/>
    <w:uiPriority w:val="21"/>
    <w:semiHidden/>
    <w:qFormat/>
    <w:pPr>
      <w:pBdr/>
      <w:spacing/>
      <w:ind/>
    </w:pPr>
    <w:rPr>
      <w:b/>
      <w:bCs/>
      <w:i/>
      <w:iCs/>
      <w:color w:val="4f81bd" w:themeColor="accent1"/>
    </w:rPr>
  </w:style>
  <w:style w:type="character" w:styleId="867">
    <w:name w:val="Subtle Reference"/>
    <w:basedOn w:val="835"/>
    <w:uiPriority w:val="31"/>
    <w:semiHidden/>
    <w:qFormat/>
    <w:pPr>
      <w:pBdr/>
      <w:spacing/>
      <w:ind/>
    </w:pPr>
    <w:rPr>
      <w:smallCaps/>
      <w:color w:val="c0504d" w:themeColor="accent2"/>
      <w:u w:val="single"/>
    </w:rPr>
  </w:style>
  <w:style w:type="character" w:styleId="868">
    <w:name w:val="Intense Reference"/>
    <w:basedOn w:val="835"/>
    <w:uiPriority w:val="32"/>
    <w:semiHidden/>
    <w:qFormat/>
    <w:pPr>
      <w:pBdr/>
      <w:spacing/>
      <w:ind/>
    </w:pPr>
    <w:rPr>
      <w:b/>
      <w:bCs/>
      <w:smallCaps/>
      <w:color w:val="c0504d" w:themeColor="accent2"/>
      <w:spacing w:val="5"/>
      <w:u w:val="single"/>
    </w:rPr>
  </w:style>
  <w:style w:type="character" w:styleId="869">
    <w:name w:val="Book Title"/>
    <w:basedOn w:val="835"/>
    <w:uiPriority w:val="33"/>
    <w:semiHidden/>
    <w:qFormat/>
    <w:pPr>
      <w:pBdr/>
      <w:spacing/>
      <w:ind/>
    </w:pPr>
    <w:rPr>
      <w:b/>
      <w:bCs/>
      <w:smallCaps/>
      <w:spacing w:val="5"/>
    </w:rPr>
  </w:style>
  <w:style w:type="paragraph" w:styleId="870">
    <w:name w:val="TOC Heading"/>
    <w:basedOn w:val="826"/>
    <w:next w:val="825"/>
    <w:uiPriority w:val="39"/>
    <w:semiHidden/>
    <w:qFormat/>
    <w:pPr>
      <w:pBdr/>
      <w:spacing/>
      <w:ind/>
      <w:outlineLvl w:val="9"/>
    </w:pPr>
  </w:style>
  <w:style w:type="paragraph" w:styleId="871">
    <w:name w:val="Normal Indent"/>
    <w:basedOn w:val="825"/>
    <w:uiPriority w:val="99"/>
    <w:semiHidden/>
    <w:pPr>
      <w:pBdr/>
      <w:spacing/>
      <w:ind w:left="708"/>
    </w:pPr>
    <w:rPr>
      <w:rFonts w:eastAsiaTheme="minorHAnsi" w:cstheme="minorBidi"/>
      <w:szCs w:val="22"/>
      <w:lang w:eastAsia="en-US"/>
    </w:rPr>
  </w:style>
  <w:style w:type="paragraph" w:styleId="872">
    <w:name w:val="annotation text"/>
    <w:basedOn w:val="825"/>
    <w:link w:val="873"/>
    <w:uiPriority w:val="99"/>
    <w:pPr>
      <w:pBdr/>
      <w:spacing w:after="240" w:before="120"/>
      <w:ind w:firstLine="0"/>
      <w:jc w:val="left"/>
    </w:pPr>
    <w:rPr>
      <w:rFonts w:eastAsiaTheme="minorHAnsi" w:cstheme="minorBidi"/>
      <w:i/>
      <w:szCs w:val="20"/>
      <w:lang w:eastAsia="en-US"/>
    </w:rPr>
  </w:style>
  <w:style w:type="character" w:styleId="873" w:customStyle="1">
    <w:name w:val="Текст примечания Знак"/>
    <w:basedOn w:val="835"/>
    <w:link w:val="872"/>
    <w:uiPriority w:val="99"/>
    <w:pPr>
      <w:pBdr/>
      <w:spacing/>
      <w:ind/>
    </w:pPr>
    <w:rPr>
      <w:rFonts w:ascii="Arial" w:hAnsi="Arial"/>
      <w:i/>
      <w:sz w:val="24"/>
      <w:szCs w:val="20"/>
    </w:rPr>
  </w:style>
  <w:style w:type="paragraph" w:styleId="874" w:customStyle="1">
    <w:name w:val="Редакции"/>
    <w:basedOn w:val="825"/>
    <w:pPr>
      <w:pBdr/>
      <w:spacing w:after="240"/>
      <w:ind w:firstLine="0"/>
      <w:jc w:val="center"/>
    </w:pPr>
    <w:rPr>
      <w:i/>
      <w:iCs/>
    </w:rPr>
  </w:style>
  <w:style w:type="paragraph" w:styleId="875" w:customStyle="1">
    <w:name w:val="Таблица"/>
    <w:basedOn w:val="825"/>
    <w:qFormat/>
    <w:pPr>
      <w:pBdr/>
      <w:spacing/>
      <w:ind w:firstLine="0"/>
    </w:pPr>
    <w:rPr>
      <w:rFonts w:eastAsiaTheme="minorHAnsi" w:cstheme="minorBidi"/>
      <w:szCs w:val="22"/>
      <w:lang w:eastAsia="en-US"/>
    </w:rPr>
  </w:style>
  <w:style w:type="character" w:styleId="876">
    <w:name w:val="Hyperlink"/>
    <w:uiPriority w:val="99"/>
    <w:pPr>
      <w:pBdr/>
      <w:spacing/>
      <w:ind/>
    </w:pPr>
    <w:rPr>
      <w:color w:val="0000ff" w:themeColor="hyperlink"/>
      <w:u w:val="single"/>
    </w:rPr>
  </w:style>
  <w:style w:type="paragraph" w:styleId="877">
    <w:name w:val="Balloon Text"/>
    <w:basedOn w:val="825"/>
    <w:link w:val="878"/>
    <w:uiPriority w:val="99"/>
    <w:semiHidden/>
    <w:pPr>
      <w:pBdr/>
      <w:spacing w:after="0"/>
      <w:ind/>
    </w:pPr>
    <w:rPr>
      <w:rFonts w:ascii="Tahoma" w:hAnsi="Tahoma" w:cs="Tahoma"/>
      <w:sz w:val="16"/>
      <w:szCs w:val="16"/>
    </w:rPr>
  </w:style>
  <w:style w:type="character" w:styleId="878" w:customStyle="1">
    <w:name w:val="Текст выноски Знак"/>
    <w:basedOn w:val="835"/>
    <w:link w:val="877"/>
    <w:uiPriority w:val="99"/>
    <w:semiHidden/>
    <w:pPr>
      <w:pBdr/>
      <w:spacing/>
      <w:ind/>
    </w:pPr>
    <w:rPr>
      <w:rFonts w:ascii="Tahoma" w:hAnsi="Tahoma" w:cs="Tahoma" w:eastAsiaTheme="minorEastAsia"/>
      <w:sz w:val="16"/>
      <w:szCs w:val="16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Relationship Id="rId9" Type="http://schemas.openxmlformats.org/officeDocument/2006/relationships/hyperlink" Target="https://cbd.minjust.gov.kg/112424/edition/40032/ru#st_5" TargetMode="External"/><Relationship Id="rId10" Type="http://schemas.openxmlformats.org/officeDocument/2006/relationships/hyperlink" Target="https://cbd.minjust.gov.kg/112424/edition/40032/ru#st_9" TargetMode="External"/><Relationship Id="rId11" Type="http://schemas.openxmlformats.org/officeDocument/2006/relationships/hyperlink" Target="https://cbd.minjust.gov.kg/112424/edition/40032/ru#st_64" TargetMode="External"/><Relationship Id="rId12" Type="http://schemas.openxmlformats.org/officeDocument/2006/relationships/hyperlink" Target="https://cbd.minjust.gov.kg/8-853/edition/1036107/ru" TargetMode="External"/><Relationship Id="rId13" Type="http://schemas.openxmlformats.org/officeDocument/2006/relationships/hyperlink" Target="https://cbd.minjust.gov.kg/860284/edition/1090005/ru" TargetMode="External"/><Relationship Id="rId14" Type="http://schemas.openxmlformats.org/officeDocument/2006/relationships/hyperlink" Target="https://cbd.minjust.gov.kg/860285/edition/1095320/ru" TargetMode="External"/><Relationship Id="rId15" Type="http://schemas.openxmlformats.org/officeDocument/2006/relationships/hyperlink" Target="https://cbd.minjust.gov.kg/860284/edition/1090005/ru" TargetMode="External"/><Relationship Id="rId16" Type="http://schemas.openxmlformats.org/officeDocument/2006/relationships/hyperlink" Target="https://cbd.minjust.gov.kg/8-853/edition/1036107/ru" TargetMode="External"/><Relationship Id="rId17" Type="http://schemas.openxmlformats.org/officeDocument/2006/relationships/hyperlink" Target="https://cbd.minjust.gov.kg/860284/edition/1090005/ru#g4" TargetMode="External"/><Relationship Id="rId18" Type="http://schemas.openxmlformats.org/officeDocument/2006/relationships/hyperlink" Target="https://cbd.minjust.gov.kg/860284/edition/1090005/ru#g7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ONLYOFFICE/8.1.1.26</Application>
  <Company>Krokoz™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Аноним</cp:lastModifiedBy>
  <cp:revision>16</cp:revision>
  <dcterms:created xsi:type="dcterms:W3CDTF">2024-01-18T05:24:00Z</dcterms:created>
  <dcterms:modified xsi:type="dcterms:W3CDTF">2026-09-21T09:39:03Z</dcterms:modified>
</cp:coreProperties>
</file>