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 w:firstLine="0"/>
        <w:jc w:val="center"/>
        <w:rPr>
          <w:rFonts w:eastAsia="Times New Roman" w:cs="Arial"/>
        </w:rPr>
      </w:pPr>
      <w:r>
        <w:rPr>
          <w:rFonts w:eastAsia="Times New Roman" w:cs="Arial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9525" b="0"/>
    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Work\AppData\Local\Temp\CdbDocEditor\55cce2ef-da82-43ad-9ae8-62e72dc4a2b5\document.files\image0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Work\AppData\Local\Temp\CdbDocEditor\55cce2ef-da82-43ad-9ae8-62e72dc4a2b5\document.files\image00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">
                <v:imagedata r:id="rId8" o:title=""/>
                <o:lock v:ext="edit" rotation="t"/>
              </v:shape>
            </w:pict>
          </mc:Fallback>
        </mc:AlternateContent>
      </w:r>
      <w:r>
        <w:rPr>
          <w:rFonts w:eastAsia="Times New Roman" w:cs="Arial"/>
        </w:rPr>
      </w:r>
      <w:r>
        <w:rPr>
          <w:rFonts w:eastAsia="Times New Roman" w:cs="Arial"/>
        </w:rPr>
      </w:r>
    </w:p>
    <w:p>
      <w:pPr>
        <w:pBdr/>
        <w:spacing w:after="360"/>
        <w:ind w:firstLine="0"/>
        <w:jc w:val="center"/>
        <w:rPr>
          <w:rFonts w:eastAsia="Times New Roman" w:cs="Arial"/>
        </w:rPr>
      </w:pPr>
      <w:r>
        <w:rPr>
          <w:rFonts w:eastAsia="Times New Roman" w:cs="Arial"/>
          <w:b/>
          <w:bCs/>
          <w:color w:val="000000"/>
          <w:sz w:val="32"/>
          <w:szCs w:val="32"/>
        </w:rPr>
        <w:t xml:space="preserve">ПОСТАНОВЛЕНИЕ </w:t>
      </w:r>
      <w:r>
        <w:rPr>
          <w:rFonts w:eastAsia="Times New Roman" w:cs="Arial"/>
          <w:b/>
          <w:bCs/>
          <w:color w:val="000000"/>
          <w:sz w:val="32"/>
          <w:szCs w:val="32"/>
          <w:lang w:val="ky-KG"/>
        </w:rPr>
        <w:t xml:space="preserve">ПРАВЛЕНИЯ НАЦИОНАЛЬНОГО БАНКА </w:t>
      </w:r>
      <w:r>
        <w:rPr>
          <w:rFonts w:eastAsia="Times New Roman" w:cs="Arial"/>
          <w:b/>
          <w:bCs/>
          <w:color w:val="000000"/>
          <w:sz w:val="32"/>
          <w:szCs w:val="32"/>
        </w:rPr>
        <w:t xml:space="preserve">КЫРГЫЗСКОЙ РЕСПУБЛИКИ</w:t>
      </w:r>
      <w:r>
        <w:rPr>
          <w:rFonts w:eastAsia="Times New Roman" w:cs="Arial"/>
        </w:rPr>
      </w:r>
      <w:r>
        <w:rPr>
          <w:rFonts w:eastAsia="Times New Roman" w:cs="Arial"/>
        </w:rPr>
      </w:r>
    </w:p>
    <w:p>
      <w:pPr>
        <w:pBdr/>
        <w:spacing w:after="240"/>
        <w:ind w:firstLine="0"/>
        <w:jc w:val="left"/>
        <w:rPr>
          <w:rFonts w:eastAsia="Times New Roman" w:cs="Arial"/>
        </w:rPr>
      </w:pPr>
      <w:r>
        <w:rPr>
          <w:rFonts w:eastAsia="Times New Roman" w:cs="Arial"/>
        </w:rPr>
        <w:t xml:space="preserve">от </w:t>
      </w:r>
      <w:r>
        <w:rPr>
          <w:rFonts w:eastAsia="Times New Roman" w:cs="Arial"/>
          <w:lang w:val="ky-KG"/>
        </w:rPr>
        <w:t xml:space="preserve">1 октября</w:t>
      </w:r>
      <w:r>
        <w:rPr>
          <w:rFonts w:eastAsia="Times New Roman" w:cs="Arial"/>
        </w:rPr>
        <w:t xml:space="preserve"> 202</w:t>
      </w:r>
      <w:r>
        <w:rPr>
          <w:rFonts w:eastAsia="Times New Roman" w:cs="Arial"/>
          <w:lang w:val="ky-KG"/>
        </w:rPr>
        <w:t xml:space="preserve">6</w:t>
      </w:r>
      <w:r>
        <w:rPr>
          <w:rFonts w:eastAsia="Times New Roman" w:cs="Arial"/>
        </w:rPr>
        <w:t xml:space="preserve"> года </w:t>
      </w:r>
      <w:r>
        <w:rPr>
          <w:rFonts w:eastAsia="Times New Roman" w:cs="Arial"/>
          <w:lang w:val="ky-KG"/>
        </w:rPr>
        <w:t xml:space="preserve">№ 2026-П-12/48</w:t>
      </w:r>
      <w:r>
        <w:rPr>
          <w:rFonts w:eastAsia="Times New Roman" w:cs="Arial"/>
          <w:lang w:val="ky-KG"/>
        </w:rPr>
        <w:t xml:space="preserve">-</w:t>
      </w:r>
      <w:r>
        <w:rPr>
          <w:rFonts w:eastAsia="Times New Roman" w:cs="Arial"/>
          <w:lang w:val="ky-KG"/>
        </w:rPr>
        <w:t xml:space="preserve">2-(НПА</w:t>
      </w:r>
      <w:r>
        <w:rPr>
          <w:rFonts w:eastAsia="Times New Roman" w:cs="Arial"/>
          <w:lang w:val="ky-KG"/>
        </w:rPr>
        <w:t xml:space="preserve">)</w:t>
      </w:r>
      <w:r>
        <w:rPr>
          <w:rFonts w:eastAsia="Times New Roman" w:cs="Arial"/>
        </w:rPr>
      </w:r>
      <w:r>
        <w:rPr>
          <w:rFonts w:eastAsia="Times New Roman" w:cs="Arial"/>
        </w:rPr>
      </w:r>
    </w:p>
    <w:p>
      <w:pPr>
        <w:pStyle w:val="846"/>
        <w:pBdr/>
        <w:spacing/>
        <w:ind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О внесении изменений</w:t>
      </w:r>
      <w:r>
        <w:rPr>
          <w:rFonts w:cs="Arial"/>
          <w:sz w:val="28"/>
          <w:szCs w:val="28"/>
        </w:rPr>
      </w:r>
      <w:r>
        <w:rPr>
          <w:rFonts w:cs="Arial"/>
          <w:sz w:val="28"/>
          <w:szCs w:val="28"/>
        </w:rPr>
      </w:r>
    </w:p>
    <w:p>
      <w:pPr>
        <w:pStyle w:val="846"/>
        <w:pBdr/>
        <w:spacing/>
        <w:ind/>
        <w:jc w:val="center"/>
        <w:rPr>
          <w:rFonts w:cs="Arial"/>
          <w:sz w:val="28"/>
          <w:szCs w:val="28"/>
          <w:lang w:val="ky-KG"/>
        </w:rPr>
      </w:pPr>
      <w:r>
        <w:rPr>
          <w:rFonts w:cs="Arial"/>
          <w:sz w:val="28"/>
          <w:szCs w:val="28"/>
        </w:rPr>
        <w:t xml:space="preserve">в постановление Правления Национального банка Кыргызской Республики</w:t>
      </w:r>
      <w:r>
        <w:rPr>
          <w:rFonts w:cs="Arial"/>
          <w:sz w:val="28"/>
          <w:szCs w:val="28"/>
          <w:lang w:val="ky-KG"/>
        </w:rPr>
      </w:r>
      <w:r>
        <w:rPr>
          <w:rFonts w:cs="Arial"/>
          <w:sz w:val="28"/>
          <w:szCs w:val="28"/>
          <w:lang w:val="ky-KG"/>
        </w:rPr>
      </w:r>
    </w:p>
    <w:p>
      <w:pPr>
        <w:pStyle w:val="846"/>
        <w:pBdr/>
        <w:spacing/>
        <w:ind/>
        <w:jc w:val="center"/>
        <w:rPr>
          <w:rFonts w:cs="Arial"/>
          <w:sz w:val="28"/>
          <w:szCs w:val="28"/>
          <w:lang w:val="ky-KG"/>
        </w:rPr>
      </w:pPr>
      <w:r>
        <w:rPr>
          <w:rFonts w:cs="Arial"/>
          <w:sz w:val="28"/>
          <w:szCs w:val="28"/>
        </w:rPr>
        <w:t xml:space="preserve">«Об утверждении Положения «О минимальных требованиях к организации внутреннего</w:t>
      </w:r>
      <w:r>
        <w:rPr>
          <w:rFonts w:cs="Arial"/>
          <w:sz w:val="28"/>
          <w:szCs w:val="28"/>
          <w:lang w:val="ky-KG"/>
        </w:rPr>
      </w:r>
      <w:r>
        <w:rPr>
          <w:rFonts w:cs="Arial"/>
          <w:sz w:val="28"/>
          <w:szCs w:val="28"/>
          <w:lang w:val="ky-KG"/>
        </w:rPr>
      </w:r>
    </w:p>
    <w:p>
      <w:pPr>
        <w:pStyle w:val="846"/>
        <w:pBdr/>
        <w:spacing/>
        <w:ind/>
        <w:jc w:val="center"/>
        <w:rPr>
          <w:rFonts w:cs="Arial"/>
          <w:sz w:val="28"/>
          <w:szCs w:val="28"/>
          <w:lang w:val="ky-KG"/>
        </w:rPr>
      </w:pPr>
      <w:r>
        <w:rPr>
          <w:rFonts w:cs="Arial"/>
          <w:sz w:val="28"/>
          <w:szCs w:val="28"/>
        </w:rPr>
        <w:t xml:space="preserve">контроля в коммерческих банках в целях противодействия финансированию</w:t>
      </w:r>
      <w:r>
        <w:rPr>
          <w:rFonts w:cs="Arial"/>
          <w:sz w:val="28"/>
          <w:szCs w:val="28"/>
          <w:lang w:val="ky-KG"/>
        </w:rPr>
      </w:r>
      <w:r>
        <w:rPr>
          <w:rFonts w:cs="Arial"/>
          <w:sz w:val="28"/>
          <w:szCs w:val="28"/>
          <w:lang w:val="ky-KG"/>
        </w:rPr>
      </w:r>
    </w:p>
    <w:p>
      <w:pPr>
        <w:pStyle w:val="846"/>
        <w:pBdr/>
        <w:spacing/>
        <w:ind/>
        <w:jc w:val="center"/>
        <w:rPr>
          <w:rFonts w:cs="Arial"/>
          <w:sz w:val="28"/>
          <w:szCs w:val="28"/>
          <w:lang w:val="ky-KG"/>
        </w:rPr>
      </w:pPr>
      <w:r>
        <w:rPr>
          <w:rFonts w:cs="Arial"/>
          <w:sz w:val="28"/>
          <w:szCs w:val="28"/>
        </w:rPr>
        <w:t xml:space="preserve">террористической деятельности и легализации (отмыванию) преступных доходов»,</w:t>
      </w:r>
      <w:r>
        <w:rPr>
          <w:rFonts w:cs="Arial"/>
          <w:sz w:val="28"/>
          <w:szCs w:val="28"/>
          <w:lang w:val="ky-KG"/>
        </w:rPr>
      </w:r>
      <w:r>
        <w:rPr>
          <w:rFonts w:cs="Arial"/>
          <w:sz w:val="28"/>
          <w:szCs w:val="28"/>
          <w:lang w:val="ky-KG"/>
        </w:rPr>
      </w:r>
    </w:p>
    <w:p>
      <w:pPr>
        <w:pStyle w:val="846"/>
        <w:pBdr/>
        <w:spacing/>
        <w:ind/>
        <w:jc w:val="center"/>
        <w:rPr>
          <w:rFonts w:cs="Arial"/>
          <w:sz w:val="28"/>
          <w:szCs w:val="28"/>
          <w:lang w:val="ky-KG"/>
        </w:rPr>
      </w:pPr>
      <w:r>
        <w:rPr>
          <w:rFonts w:cs="Arial"/>
          <w:sz w:val="28"/>
          <w:szCs w:val="28"/>
        </w:rPr>
        <w:t xml:space="preserve">Положения «О порядке проведения обменных операций с наличной иностранной валютой</w:t>
      </w:r>
      <w:r>
        <w:rPr>
          <w:rFonts w:cs="Arial"/>
          <w:sz w:val="28"/>
          <w:szCs w:val="28"/>
          <w:lang w:val="ky-KG"/>
        </w:rPr>
      </w:r>
      <w:r>
        <w:rPr>
          <w:rFonts w:cs="Arial"/>
          <w:sz w:val="28"/>
          <w:szCs w:val="28"/>
          <w:lang w:val="ky-KG"/>
        </w:rPr>
      </w:r>
    </w:p>
    <w:p>
      <w:pPr>
        <w:pStyle w:val="846"/>
        <w:pBdr/>
        <w:spacing/>
        <w:ind/>
        <w:jc w:val="center"/>
        <w:rPr>
          <w:rFonts w:cs="Arial"/>
          <w:sz w:val="28"/>
          <w:szCs w:val="28"/>
          <w:lang w:val="ky-KG"/>
        </w:rPr>
      </w:pPr>
      <w:r>
        <w:rPr>
          <w:rFonts w:cs="Arial"/>
          <w:sz w:val="28"/>
          <w:szCs w:val="28"/>
        </w:rPr>
        <w:t xml:space="preserve">в Кыргызской Республике» и внесении изменений и дополнений в некоторые</w:t>
      </w:r>
      <w:r>
        <w:rPr>
          <w:rFonts w:cs="Arial"/>
          <w:sz w:val="28"/>
          <w:szCs w:val="28"/>
          <w:lang w:val="ky-KG"/>
        </w:rPr>
      </w:r>
      <w:r>
        <w:rPr>
          <w:rFonts w:cs="Arial"/>
          <w:sz w:val="28"/>
          <w:szCs w:val="28"/>
          <w:lang w:val="ky-KG"/>
        </w:rPr>
      </w:r>
    </w:p>
    <w:p>
      <w:pPr>
        <w:pStyle w:val="846"/>
        <w:pBdr/>
        <w:spacing/>
        <w:ind/>
        <w:jc w:val="center"/>
        <w:rPr>
          <w:rFonts w:cs="Arial"/>
          <w:sz w:val="28"/>
          <w:szCs w:val="28"/>
          <w:lang w:val="ky-KG"/>
        </w:rPr>
      </w:pPr>
      <w:r>
        <w:rPr>
          <w:rFonts w:cs="Arial"/>
          <w:sz w:val="28"/>
          <w:szCs w:val="28"/>
        </w:rPr>
        <w:t xml:space="preserve">нормативные правовые акты Национального банка Кыргызской Республики по вопросам</w:t>
      </w:r>
      <w:r>
        <w:rPr>
          <w:rFonts w:cs="Arial"/>
          <w:sz w:val="28"/>
          <w:szCs w:val="28"/>
          <w:lang w:val="ky-KG"/>
        </w:rPr>
      </w:r>
      <w:r>
        <w:rPr>
          <w:rFonts w:cs="Arial"/>
          <w:sz w:val="28"/>
          <w:szCs w:val="28"/>
          <w:lang w:val="ky-KG"/>
        </w:rPr>
      </w:r>
    </w:p>
    <w:p>
      <w:pPr>
        <w:pStyle w:val="846"/>
        <w:pBdr/>
        <w:spacing/>
        <w:ind/>
        <w:jc w:val="center"/>
        <w:rPr>
          <w:rFonts w:cs="Arial"/>
          <w:sz w:val="28"/>
          <w:szCs w:val="28"/>
          <w:lang w:val="ky-KG"/>
        </w:rPr>
      </w:pPr>
      <w:r>
        <w:rPr>
          <w:rFonts w:cs="Arial"/>
          <w:sz w:val="28"/>
          <w:szCs w:val="28"/>
        </w:rPr>
        <w:t xml:space="preserve">противодействия финансированию террористической деятельности и легализации</w:t>
      </w:r>
      <w:r>
        <w:rPr>
          <w:rFonts w:cs="Arial"/>
          <w:sz w:val="28"/>
          <w:szCs w:val="28"/>
          <w:lang w:val="ky-KG"/>
        </w:rPr>
      </w:r>
      <w:r>
        <w:rPr>
          <w:rFonts w:cs="Arial"/>
          <w:sz w:val="28"/>
          <w:szCs w:val="28"/>
          <w:lang w:val="ky-KG"/>
        </w:rPr>
      </w:r>
    </w:p>
    <w:p>
      <w:pPr>
        <w:pStyle w:val="846"/>
        <w:pBdr/>
        <w:spacing/>
        <w:ind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(отмыванию) преступных доходов» от 14 августа 2019 года № 2019-П-12/42-1-(НПА)</w:t>
      </w:r>
      <w:r>
        <w:rPr>
          <w:rFonts w:cs="Arial"/>
          <w:sz w:val="28"/>
          <w:szCs w:val="28"/>
        </w:rPr>
      </w:r>
      <w:r>
        <w:rPr>
          <w:rFonts w:cs="Arial"/>
          <w:sz w:val="28"/>
          <w:szCs w:val="28"/>
        </w:rPr>
      </w:r>
    </w:p>
    <w:p>
      <w:pPr>
        <w:pBdr/>
        <w:spacing/>
        <w:ind w:firstLine="0"/>
        <w:rPr>
          <w:lang w:val="ky-KG"/>
        </w:rPr>
      </w:pPr>
      <w:r>
        <w:rPr>
          <w:lang w:val="ky-KG"/>
        </w:rPr>
      </w: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/>
      </w:pPr>
      <w:r>
        <w:t xml:space="preserve">В соответствии со статьями </w:t>
      </w:r>
      <w:hyperlink r:id="rId9" w:tooltip="https://cbd.minjust.gov.kg/112424/edition/#st_5" w:history="1">
        <w:r>
          <w:rPr>
            <w:rStyle w:val="868"/>
          </w:rPr>
          <w:t xml:space="preserve">5</w:t>
        </w:r>
      </w:hyperlink>
      <w:r>
        <w:t xml:space="preserve">, </w:t>
      </w:r>
      <w:hyperlink r:id="rId10" w:tooltip="https://cbd.minjust.gov.kg/112424/edition/#st_9" w:history="1">
        <w:r>
          <w:rPr>
            <w:rStyle w:val="868"/>
          </w:rPr>
          <w:t xml:space="preserve">9</w:t>
        </w:r>
      </w:hyperlink>
      <w:r>
        <w:t xml:space="preserve"> и </w:t>
      </w:r>
      <w:hyperlink r:id="rId11" w:tooltip="https://cbd.minjust.gov.kg/112424/edition/#st_64" w:history="1">
        <w:r>
          <w:rPr>
            <w:rStyle w:val="868"/>
          </w:rPr>
          <w:t xml:space="preserve">64</w:t>
        </w:r>
      </w:hyperlink>
      <w: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bookmarkStart w:id="0" w:name="p1"/>
      <w:r/>
      <w:bookmarkEnd w:id="0"/>
      <w:r>
        <w:t xml:space="preserve">1. </w:t>
      </w:r>
      <w:r>
        <w:t xml:space="preserve">Внести изменения в</w:t>
      </w:r>
      <w:r>
        <w:t xml:space="preserve"> постановление Правления Национального банка Кыргызской Республики «Об утверждении Положения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</w:t>
      </w:r>
      <w:r>
        <w:t xml:space="preserve">ции (отмыванию) преступных доходов», Положения «О порядке проведения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</w:t>
      </w:r>
      <w:r>
        <w:t xml:space="preserve"> по вопросам противодействия финансированию террористической деятельности и легализации (отмыванию) преступных доходов» от 14 августа 2019 года № 2019-П-12/42-1-(НПА) (</w:t>
      </w:r>
      <w:hyperlink r:id="rId12" w:tooltip="https://cbd.minjust.gov.kg/8-959/edition/#pr" w:history="1">
        <w:r>
          <w:rPr>
            <w:rStyle w:val="868"/>
          </w:rPr>
          <w:t xml:space="preserve">прилагается</w:t>
        </w:r>
      </w:hyperlink>
      <w:r>
        <w:t xml:space="preserve">).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bookmarkStart w:id="1" w:name="p2"/>
      <w:r/>
      <w:bookmarkEnd w:id="1"/>
      <w:r>
        <w:t xml:space="preserve">2. Юридическому управлению:</w:t>
      </w:r>
      <w:r/>
    </w:p>
    <w:p>
      <w:pPr>
        <w:pBdr/>
        <w:spacing/>
        <w:ind/>
        <w:rPr/>
      </w:pPr>
      <w: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  <w:r/>
    </w:p>
    <w:p>
      <w:pPr>
        <w:pBdr/>
        <w:spacing/>
        <w:ind/>
        <w:rPr/>
      </w:pPr>
      <w: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bookmarkStart w:id="2" w:name="p3"/>
      <w:r/>
      <w:bookmarkEnd w:id="2"/>
      <w:r>
        <w:t xml:space="preserve">3. Настоящее постановление вступает в силу по истечении 30 (тридцати) дней со дня официального опубликования.</w:t>
      </w:r>
      <w:r>
        <w:t xml:space="preserve"> </w:t>
      </w:r>
      <w:r/>
    </w:p>
    <w:p>
      <w:pPr>
        <w:pBdr/>
        <w:spacing/>
        <w:ind/>
        <w:rPr>
          <w:i/>
          <w:color w:val="1f497d" w:themeColor="text2"/>
        </w:rPr>
      </w:pPr>
      <w:r>
        <w:rPr>
          <w:i/>
          <w:color w:val="1f497d" w:themeColor="text2"/>
        </w:rPr>
        <w:t xml:space="preserve">Опубликовано на официальном сайте </w:t>
      </w:r>
      <w:r>
        <w:rPr>
          <w:i/>
          <w:color w:val="1f497d" w:themeColor="text2"/>
        </w:rPr>
        <w:t xml:space="preserve">https://www.nbkr.kg/contout.jsp?item=2145&amp;lang=RUS&amp;material=134268 </w:t>
      </w:r>
      <w:r>
        <w:rPr>
          <w:i/>
          <w:color w:val="1f497d" w:themeColor="text2"/>
        </w:rPr>
        <w:t xml:space="preserve">от 5 октября</w:t>
      </w:r>
      <w:r>
        <w:rPr>
          <w:i/>
          <w:color w:val="1f497d" w:themeColor="text2"/>
        </w:rPr>
        <w:t xml:space="preserve"> 2026 года</w:t>
      </w:r>
      <w:r>
        <w:rPr>
          <w:i/>
          <w:color w:val="1f497d" w:themeColor="text2"/>
        </w:rPr>
      </w:r>
      <w:r>
        <w:rPr>
          <w:i/>
          <w:color w:val="1f497d" w:themeColor="text2"/>
        </w:rPr>
      </w:r>
    </w:p>
    <w:p>
      <w:pPr>
        <w:pBdr/>
        <w:spacing/>
        <w:ind w:firstLine="0"/>
        <w:rPr>
          <w:lang w:val="ky-KG"/>
        </w:rPr>
      </w:pPr>
      <w:r>
        <w:rPr>
          <w:lang w:val="ky-KG"/>
        </w:rPr>
      </w: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/>
      </w:pPr>
      <w:r/>
      <w:bookmarkStart w:id="3" w:name="p4"/>
      <w:r/>
      <w:bookmarkEnd w:id="3"/>
      <w:r>
        <w:t xml:space="preserve">4. Управл</w:t>
      </w:r>
      <w:r>
        <w:t xml:space="preserve">ению методологии надзора в течение 3 (трех) рабочих дней со дня официального опубликования настоящего постановления довести его до сведения Объединения юридических лиц «Союз банков Кыргызстана», коммерческих банков, Объединения юридических лиц «Ассоциация </w:t>
      </w:r>
      <w:r>
        <w:t xml:space="preserve">микрофинансовых</w:t>
      </w:r>
      <w:r>
        <w:t xml:space="preserve"> организаций», </w:t>
      </w:r>
      <w:r>
        <w:t xml:space="preserve">микрофинансовых</w:t>
      </w:r>
      <w:r>
        <w:t xml:space="preserve"> компаний, привлекающих депозиты, ОАО «Финансовая компания кредитных союзов».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bookmarkStart w:id="4" w:name="p5"/>
      <w:r/>
      <w:bookmarkEnd w:id="4"/>
      <w:r>
        <w:t xml:space="preserve">5. Отделу «Секретариат Правления» в течение 3 (трех) рабочих дней со дня принятия настоящего постановления довести его до сведения структурных подразделений, областных управлений и Представительства Национального банка Кыргызской Республики в </w:t>
      </w:r>
      <w:r>
        <w:t xml:space="preserve">Баткенской</w:t>
      </w:r>
      <w:r>
        <w:t xml:space="preserve"> области.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bookmarkStart w:id="5" w:name="p6"/>
      <w:r/>
      <w:bookmarkEnd w:id="5"/>
      <w:r>
        <w:t xml:space="preserve">6. </w:t>
      </w:r>
      <w:r>
        <w:t xml:space="preserve">Контроль за</w:t>
      </w:r>
      <w:r>
        <w:t xml:space="preserve">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  <w:r/>
    </w:p>
    <w:p>
      <w:pPr>
        <w:pBdr/>
        <w:spacing/>
        <w:ind w:firstLine="0"/>
        <w:rPr>
          <w:lang w:val="ky-KG"/>
        </w:rPr>
      </w:pPr>
      <w:r>
        <w:rPr>
          <w:lang w:val="ky-KG"/>
        </w:rPr>
      </w:r>
      <w:r>
        <w:rPr>
          <w:lang w:val="ky-KG"/>
        </w:rPr>
      </w:r>
      <w:r>
        <w:rPr>
          <w:lang w:val="ky-KG"/>
        </w:rPr>
      </w:r>
    </w:p>
    <w:p>
      <w:pPr>
        <w:pBdr/>
        <w:spacing/>
        <w:ind w:firstLine="0"/>
        <w:rPr>
          <w:lang w:val="ky-KG"/>
        </w:rPr>
      </w:pPr>
      <w:r>
        <w:rPr>
          <w:lang w:val="ky-KG"/>
        </w:rPr>
      </w:r>
      <w:r>
        <w:rPr>
          <w:lang w:val="ky-KG"/>
        </w:rPr>
      </w:r>
      <w:r>
        <w:rPr>
          <w:lang w:val="ky-KG"/>
        </w:rPr>
      </w:r>
    </w:p>
    <w:tbl>
      <w:tblPr>
        <w:tblW w:w="5000" w:type="pct"/>
        <w:tblBorders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0"/>
        <w:gridCol w:w="2871"/>
      </w:tblGrid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785" w:type="dxa"/>
            <w:textDirection w:val="lrTb"/>
            <w:noWrap w:val="false"/>
          </w:tcPr>
          <w:p>
            <w:pPr>
              <w:pStyle w:val="846"/>
              <w:pBdr/>
              <w:spacing/>
              <w:ind/>
              <w:rPr/>
            </w:pPr>
            <w:r>
              <w:t xml:space="preserve">Председатель</w:t>
            </w:r>
            <w:r/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00" w:type="pct"/>
            <w:textDirection w:val="lrTb"/>
            <w:noWrap w:val="false"/>
          </w:tcPr>
          <w:p>
            <w:pPr>
              <w:pStyle w:val="846"/>
              <w:pBdr/>
              <w:spacing/>
              <w:ind/>
              <w:jc w:val="center"/>
              <w:rPr/>
            </w:pPr>
            <w:r>
              <w:t xml:space="preserve">А. </w:t>
            </w:r>
            <w:r>
              <w:t xml:space="preserve">Бакетаев</w:t>
            </w:r>
            <w:r/>
          </w:p>
        </w:tc>
      </w:tr>
    </w:tbl>
    <w:p>
      <w:pPr>
        <w:pStyle w:val="846"/>
        <w:pBdr/>
        <w:spacing/>
        <w:ind/>
        <w:rPr>
          <w:b w:val="0"/>
        </w:rPr>
      </w:pPr>
      <w:r>
        <w:rPr>
          <w:b w:val="0"/>
        </w:rPr>
      </w:r>
      <w:r>
        <w:rPr>
          <w:b w:val="0"/>
        </w:rPr>
      </w:r>
      <w:r>
        <w:rPr>
          <w:b w:val="0"/>
        </w:rPr>
      </w:r>
    </w:p>
    <w:tbl>
      <w:tblPr>
        <w:tblW w:w="5000" w:type="pct"/>
        <w:tblBorders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0"/>
        <w:gridCol w:w="2871"/>
      </w:tblGrid>
      <w:tr>
        <w:trPr/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785" w:type="dxa"/>
            <w:textDirection w:val="lrTb"/>
            <w:noWrap w:val="false"/>
          </w:tcPr>
          <w:p>
            <w:pPr>
              <w:pStyle w:val="846"/>
              <w:pBdr/>
              <w:spacing/>
              <w:ind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00" w:type="pct"/>
            <w:textDirection w:val="lrTb"/>
            <w:noWrap w:val="false"/>
          </w:tcPr>
          <w:p>
            <w:pPr>
              <w:pStyle w:val="846"/>
              <w:pBdr/>
              <w:spacing/>
              <w:ind/>
              <w:jc w:val="center"/>
              <w:rPr>
                <w:b w:val="0"/>
              </w:rPr>
            </w:pPr>
            <w:r/>
            <w:bookmarkStart w:id="6" w:name="pr"/>
            <w:r/>
            <w:bookmarkStart w:id="7" w:name="_GoBack"/>
            <w:r/>
            <w:bookmarkEnd w:id="6"/>
            <w:r/>
            <w:bookmarkEnd w:id="7"/>
            <w:r>
              <w:rPr>
                <w:b w:val="0"/>
              </w:rPr>
              <w:t xml:space="preserve">Приложение</w:t>
            </w:r>
            <w:r>
              <w:rPr>
                <w:b w:val="0"/>
              </w:rPr>
            </w:r>
            <w:r>
              <w:rPr>
                <w:b w:val="0"/>
              </w:rPr>
            </w:r>
          </w:p>
          <w:p>
            <w:pPr>
              <w:pStyle w:val="846"/>
              <w:pBdr/>
              <w:spacing/>
              <w:ind/>
              <w:jc w:val="center"/>
              <w:rPr>
                <w:b w:val="0"/>
              </w:rPr>
            </w:pPr>
            <w:r>
              <w:rPr>
                <w:b w:val="0"/>
              </w:rPr>
              <w:t xml:space="preserve">к </w:t>
            </w:r>
            <w:hyperlink r:id="rId13" w:tooltip="https://cbd.minjust.gov.kg/8-959/edition/60422/ru" w:history="1">
              <w:r>
                <w:rPr>
                  <w:rStyle w:val="868"/>
                  <w:b w:val="0"/>
                </w:rPr>
                <w:t xml:space="preserve">постановлению</w:t>
              </w:r>
            </w:hyperlink>
            <w:r>
              <w:rPr>
                <w:b w:val="0"/>
              </w:rPr>
              <w:t xml:space="preserve"> Правления</w:t>
            </w:r>
            <w:r>
              <w:rPr>
                <w:b w:val="0"/>
              </w:rPr>
            </w:r>
            <w:r>
              <w:rPr>
                <w:b w:val="0"/>
              </w:rPr>
            </w:r>
          </w:p>
          <w:p>
            <w:pPr>
              <w:pStyle w:val="846"/>
              <w:pBdr/>
              <w:spacing/>
              <w:ind/>
              <w:jc w:val="center"/>
              <w:rPr>
                <w:b w:val="0"/>
              </w:rPr>
            </w:pPr>
            <w:r>
              <w:rPr>
                <w:b w:val="0"/>
              </w:rPr>
              <w:t xml:space="preserve">Национального банка</w:t>
            </w:r>
            <w:r>
              <w:rPr>
                <w:b w:val="0"/>
              </w:rPr>
            </w:r>
            <w:r>
              <w:rPr>
                <w:b w:val="0"/>
              </w:rPr>
            </w:r>
          </w:p>
          <w:p>
            <w:pPr>
              <w:pStyle w:val="846"/>
              <w:pBdr/>
              <w:spacing/>
              <w:ind/>
              <w:jc w:val="center"/>
              <w:rPr>
                <w:b w:val="0"/>
              </w:rPr>
            </w:pPr>
            <w:r>
              <w:rPr>
                <w:b w:val="0"/>
              </w:rPr>
              <w:t xml:space="preserve">Кыргызской Республики</w:t>
            </w:r>
            <w:r>
              <w:rPr>
                <w:b w:val="0"/>
              </w:rPr>
            </w:r>
            <w:r>
              <w:rPr>
                <w:b w:val="0"/>
              </w:rPr>
            </w:r>
          </w:p>
          <w:p>
            <w:pPr>
              <w:pStyle w:val="846"/>
              <w:pBdr/>
              <w:spacing/>
              <w:ind/>
              <w:jc w:val="center"/>
              <w:rPr>
                <w:b w:val="0"/>
              </w:rPr>
            </w:pPr>
            <w:r>
              <w:rPr>
                <w:b w:val="0"/>
              </w:rPr>
              <w:t xml:space="preserve">от </w:t>
            </w:r>
            <w:r>
              <w:rPr>
                <w:b w:val="0"/>
              </w:rPr>
              <w:t xml:space="preserve">«</w:t>
            </w:r>
            <w:r>
              <w:rPr>
                <w:b w:val="0"/>
              </w:rPr>
              <w:t xml:space="preserve">1</w:t>
            </w:r>
            <w:r>
              <w:rPr>
                <w:b w:val="0"/>
              </w:rPr>
              <w:t xml:space="preserve">»</w:t>
            </w:r>
            <w:r>
              <w:rPr>
                <w:b w:val="0"/>
              </w:rPr>
              <w:t xml:space="preserve"> октября 2026 года</w:t>
            </w:r>
            <w:r>
              <w:rPr>
                <w:b w:val="0"/>
              </w:rPr>
            </w:r>
            <w:r>
              <w:rPr>
                <w:b w:val="0"/>
              </w:rPr>
            </w:r>
          </w:p>
          <w:p>
            <w:pPr>
              <w:pStyle w:val="846"/>
              <w:pBdr/>
              <w:spacing/>
              <w:ind/>
              <w:jc w:val="center"/>
              <w:rPr>
                <w:b w:val="0"/>
              </w:rPr>
            </w:pPr>
            <w:r>
              <w:rPr>
                <w:b w:val="0"/>
              </w:rPr>
              <w:t xml:space="preserve">№ 2026-П-12/48-2-(НПА)</w:t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</w:tbl>
    <w:p>
      <w:pPr>
        <w:pBdr/>
        <w:spacing/>
        <w:ind w:firstLine="0"/>
        <w:rPr/>
      </w:pPr>
      <w:r/>
      <w:r/>
    </w:p>
    <w:p>
      <w:pPr>
        <w:pStyle w:val="846"/>
        <w:pBdr/>
        <w:spacing/>
        <w:ind/>
        <w:jc w:val="center"/>
        <w:rPr/>
      </w:pPr>
      <w:r>
        <w:t xml:space="preserve">Изменения</w:t>
      </w:r>
      <w:r/>
    </w:p>
    <w:p>
      <w:pPr>
        <w:pStyle w:val="846"/>
        <w:pBdr/>
        <w:spacing/>
        <w:ind/>
        <w:jc w:val="center"/>
        <w:rPr/>
      </w:pPr>
      <w:r>
        <w:t xml:space="preserve">в постановление Правления Национального банка Кыргызской Республики «Об утверждении</w:t>
      </w:r>
      <w:r/>
    </w:p>
    <w:p>
      <w:pPr>
        <w:pStyle w:val="846"/>
        <w:pBdr/>
        <w:spacing/>
        <w:ind/>
        <w:jc w:val="center"/>
        <w:rPr/>
      </w:pPr>
      <w:r>
        <w:t xml:space="preserve">Положения «О минимальных требованиях к организации внутреннего контроля</w:t>
      </w:r>
      <w:r/>
    </w:p>
    <w:p>
      <w:pPr>
        <w:pStyle w:val="846"/>
        <w:pBdr/>
        <w:spacing/>
        <w:ind/>
        <w:jc w:val="center"/>
        <w:rPr/>
      </w:pPr>
      <w:r>
        <w:t xml:space="preserve">в коммерческих банках в целях противодействия финансированию </w:t>
      </w:r>
      <w:r>
        <w:t xml:space="preserve">террористической</w:t>
      </w:r>
      <w:r/>
    </w:p>
    <w:p>
      <w:pPr>
        <w:pStyle w:val="846"/>
        <w:pBdr/>
        <w:spacing/>
        <w:ind/>
        <w:jc w:val="center"/>
        <w:rPr/>
      </w:pPr>
      <w:r>
        <w:t xml:space="preserve">деятельности и легализации (отмыванию) преступных доходов», Положения «О порядке</w:t>
      </w:r>
      <w:r/>
    </w:p>
    <w:p>
      <w:pPr>
        <w:pStyle w:val="846"/>
        <w:pBdr/>
        <w:spacing/>
        <w:ind/>
        <w:jc w:val="center"/>
        <w:rPr/>
      </w:pPr>
      <w:r>
        <w:t xml:space="preserve">проведения обменных операций с наличной иностранной валютой в Кыргызской</w:t>
      </w:r>
      <w:r/>
    </w:p>
    <w:p>
      <w:pPr>
        <w:pStyle w:val="846"/>
        <w:pBdr/>
        <w:spacing/>
        <w:ind/>
        <w:jc w:val="center"/>
        <w:rPr/>
      </w:pPr>
      <w:r>
        <w:t xml:space="preserve">Республике» и внесении изменений и дополнений в некоторые нормативные правовые акты</w:t>
      </w:r>
      <w:r/>
    </w:p>
    <w:p>
      <w:pPr>
        <w:pStyle w:val="846"/>
        <w:pBdr/>
        <w:spacing/>
        <w:ind/>
        <w:jc w:val="center"/>
        <w:rPr/>
      </w:pPr>
      <w:r>
        <w:t xml:space="preserve">Национального банка Кыргызской Республики по вопросам противодействия</w:t>
      </w:r>
      <w:r/>
    </w:p>
    <w:p>
      <w:pPr>
        <w:pStyle w:val="846"/>
        <w:pBdr/>
        <w:spacing/>
        <w:ind/>
        <w:jc w:val="center"/>
        <w:rPr/>
      </w:pPr>
      <w:r>
        <w:t xml:space="preserve">финансированию террористической деятельности и легализации (отмыванию) </w:t>
      </w:r>
      <w:r>
        <w:t xml:space="preserve">преступных</w:t>
      </w:r>
      <w:r/>
    </w:p>
    <w:p>
      <w:pPr>
        <w:pStyle w:val="846"/>
        <w:pBdr/>
        <w:spacing/>
        <w:ind/>
        <w:jc w:val="center"/>
        <w:rPr/>
      </w:pPr>
      <w:r>
        <w:t xml:space="preserve">доходов» от 14 августа 2019 года № 2019-П-12/42-1-(НПА)</w:t>
      </w:r>
      <w:r/>
    </w:p>
    <w:p>
      <w:pPr>
        <w:pBdr/>
        <w:spacing/>
        <w:ind w:firstLine="0"/>
        <w:rPr/>
      </w:pPr>
      <w:r/>
      <w:r/>
    </w:p>
    <w:p>
      <w:pPr>
        <w:pBdr/>
        <w:spacing/>
        <w:ind/>
        <w:rPr/>
      </w:pPr>
      <w:r>
        <w:t xml:space="preserve">1. </w:t>
      </w:r>
      <w:r>
        <w:t xml:space="preserve">Внести в по</w:t>
      </w:r>
      <w:r>
        <w:t xml:space="preserve">становление Правления Национального банка Кыргызской Республики «Об утверждении Положения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</w:t>
      </w:r>
      <w:r>
        <w:t xml:space="preserve"> (отмыванию) преступных доходов», Положения «О порядке проведения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 по</w:t>
      </w:r>
      <w:r>
        <w:t xml:space="preserve"> вопросам противодействия финансированию террористической деятельности и легализации (отмыванию) преступных доходов»» от 14 августа 2019 года № 2019-П-12/42-1-(НПА) следующие изменения:</w:t>
      </w:r>
      <w:r/>
    </w:p>
    <w:p>
      <w:pPr>
        <w:pBdr/>
        <w:spacing/>
        <w:ind/>
        <w:rPr/>
      </w:pPr>
      <w:r>
        <w:t xml:space="preserve">Положение «О минимальных требованиях к организации внутреннего контроля в коммерческих банках в целях противодействия финансированию преступной деятельности и легализации (отмыванию) преступных доходов», утвержденное вышеуказанным постановлением:</w:t>
      </w:r>
      <w:r/>
    </w:p>
    <w:p>
      <w:pPr>
        <w:pBdr/>
        <w:spacing/>
        <w:ind/>
        <w:rPr/>
      </w:pPr>
      <w:r>
        <w:t xml:space="preserve">- дополнить пунктами 39-5, 39-6, 39-7 следующего содержания:</w:t>
      </w:r>
      <w:r/>
    </w:p>
    <w:p>
      <w:pPr>
        <w:pBdr/>
        <w:spacing/>
        <w:ind/>
        <w:rPr/>
      </w:pPr>
      <w:r>
        <w:t xml:space="preserve">«39-5. При осуществлении операций по </w:t>
      </w:r>
      <w:r>
        <w:t xml:space="preserve">обналичиванию</w:t>
      </w:r>
      <w:r>
        <w:t xml:space="preserve"> денежных средств и транзитных операций по счетам юридических лиц и индивидуальных предпринимателей банк с применением </w:t>
      </w:r>
      <w:r>
        <w:t xml:space="preserve">риск-ориентированного</w:t>
      </w:r>
      <w:r>
        <w:t xml:space="preserve"> подхода обязан учитывать следующие признаки повышенного риска: </w:t>
      </w:r>
      <w:r/>
    </w:p>
    <w:p>
      <w:pPr>
        <w:pBdr/>
        <w:spacing/>
        <w:ind/>
        <w:rPr/>
      </w:pPr>
      <w:r>
        <w:t xml:space="preserve">1. существенная доля оборотов по банковскому счету клиента обналичивается, при этом объем и периодичность операций по </w:t>
      </w:r>
      <w:r>
        <w:t xml:space="preserve">обналичиванию</w:t>
      </w:r>
      <w:r>
        <w:t xml:space="preserve"> денежных средств не соответствуют характеру, масштабу либо виду его экономической деятельности, а также иной доступной банку информации о клиенте; </w:t>
      </w:r>
      <w:r/>
    </w:p>
    <w:p>
      <w:pPr>
        <w:pBdr/>
        <w:spacing/>
        <w:ind/>
        <w:rPr/>
      </w:pPr>
      <w:r>
        <w:t xml:space="preserve">2. операции по </w:t>
      </w:r>
      <w:r>
        <w:t xml:space="preserve">обналичиванию</w:t>
      </w:r>
      <w:r>
        <w:t xml:space="preserve"> денежных средств осуществляютс</w:t>
      </w:r>
      <w:r>
        <w:t xml:space="preserve">я в короткий срок после их зачисления на банковский счет клиента, в том числе на систематической основе, при отсутствии очевидного экономического смысла либо при несоответствии таких операций характеру, масштабу или виду экономической деятельности клиента;</w:t>
      </w:r>
      <w:r/>
    </w:p>
    <w:p>
      <w:pPr>
        <w:pBdr/>
        <w:spacing/>
        <w:ind/>
        <w:rPr/>
      </w:pPr>
      <w:r>
        <w:t xml:space="preserve">3. денежные средства поступают от одного или нескольких контрагентов с последующим </w:t>
      </w:r>
      <w:r>
        <w:t xml:space="preserve">обналичиванием</w:t>
      </w:r>
      <w:r>
        <w:t xml:space="preserve"> денежных сре</w:t>
      </w:r>
      <w:r>
        <w:t xml:space="preserve">дств пр</w:t>
      </w:r>
      <w:r>
        <w:t xml:space="preserve">и отсутствии очевидного экономического смысла либо несоответствии таких операций характеру и масштабу финансово-хозяйственной деятельности клиента;</w:t>
      </w:r>
      <w:r/>
    </w:p>
    <w:p>
      <w:pPr>
        <w:pBdr/>
        <w:spacing/>
        <w:ind/>
        <w:rPr/>
      </w:pPr>
      <w:r>
        <w:t xml:space="preserve">4. операции по </w:t>
      </w:r>
      <w:r>
        <w:t xml:space="preserve">обналичиванию</w:t>
      </w:r>
      <w:r>
        <w:t xml:space="preserve"> денежных средств осуществляются регулярно небольшими суммами либо путем совершения нескольких взаимосвязанных операций при отсутствии очевидного экономического смысла;</w:t>
      </w:r>
      <w:r/>
    </w:p>
    <w:p>
      <w:pPr>
        <w:pBdr/>
        <w:spacing/>
        <w:ind/>
        <w:rPr/>
      </w:pPr>
      <w:r>
        <w:t xml:space="preserve">5. на банковский счет клиента поступают денежные средства от одного или нескольких лиц с их последующим перечислени</w:t>
      </w:r>
      <w:r>
        <w:t xml:space="preserve">ем в течение короткого периода третьим лицам, в том числе в иностранные государства, при отсутствии очевидного экономического смысла либо несоответствии таких операций характеру и масштабу финансово-хозяйственной деятельности клиента (транзитные операции);</w:t>
      </w:r>
      <w:r/>
    </w:p>
    <w:p>
      <w:pPr>
        <w:pBdr/>
        <w:spacing/>
        <w:ind/>
        <w:rPr/>
      </w:pPr>
      <w:r>
        <w:t xml:space="preserve">6. </w:t>
      </w:r>
      <w:r>
        <w:t xml:space="preserve">с даты</w:t>
      </w:r>
      <w:r>
        <w:t xml:space="preserve"> государственной регистрации юридического лица либо индивидуального пре</w:t>
      </w:r>
      <w:r>
        <w:t xml:space="preserve">дпринимателя или открытия банковского счета прошел непродолжительный период, при этом по банковскому счету осуществляются значительные объемы операций, не соответствующие продолжительности, характеру и масштабу финансово-хозяйственной деятельности клиента;</w:t>
      </w:r>
      <w:r/>
    </w:p>
    <w:p>
      <w:pPr>
        <w:pBdr/>
        <w:spacing/>
        <w:ind/>
        <w:rPr/>
      </w:pPr>
      <w:r>
        <w:t xml:space="preserve">7. объем и периодичность денежных средств, поступающих из иностранных госуда</w:t>
      </w:r>
      <w:r>
        <w:t xml:space="preserve">рств дл</w:t>
      </w:r>
      <w:r>
        <w:t xml:space="preserve">я </w:t>
      </w:r>
      <w:r>
        <w:t xml:space="preserve">обналичивания</w:t>
      </w:r>
      <w:r>
        <w:t xml:space="preserve">, не соответствуют заявленной деятельности и масштабу финансово-хозяйственной деятельности клиента либо характеру его взаимоотношений с иностранным отправителем;</w:t>
      </w:r>
      <w:r/>
    </w:p>
    <w:p>
      <w:pPr>
        <w:pBdr/>
        <w:spacing/>
        <w:ind/>
        <w:rPr/>
      </w:pPr>
      <w:r>
        <w:t xml:space="preserve">8. значительные объемы наличных денежных средств вносятся на банковский счет клиента с их последующим перечислени</w:t>
      </w:r>
      <w:r>
        <w:t xml:space="preserve">ем в течение короткого периода третьим лицам, в том числе в иностранные государства, при отсутствии очевидного экономического смысла либо несоответствии таких операций характеру и масштабу финансово-хозяйственной деятельности клиента (транзитные операции);</w:t>
      </w:r>
      <w:r/>
    </w:p>
    <w:p>
      <w:pPr>
        <w:pBdr/>
        <w:spacing/>
        <w:ind/>
        <w:rPr/>
      </w:pPr>
      <w:r>
        <w:t xml:space="preserve">9. корпоративные банковские карты систематически используются преимущественно для получения наличных денежных средств, не соответствующих характеру, масштабу и целям финансово-хозяйственной деятельности клиента.</w:t>
      </w:r>
      <w:r/>
    </w:p>
    <w:p>
      <w:pPr>
        <w:pBdr/>
        <w:spacing/>
        <w:ind/>
        <w:rPr/>
      </w:pPr>
      <w:r>
        <w:t xml:space="preserve">Количественные значения признаков повышенного риска, в том числе доля операций по </w:t>
      </w:r>
      <w:r>
        <w:t xml:space="preserve">обналичиванию</w:t>
      </w:r>
      <w:r>
        <w:t xml:space="preserve"> денежных средств в общем объеме операций клиента, период между поступлением и последующим </w:t>
      </w:r>
      <w:r>
        <w:t xml:space="preserve">обналичиванием</w:t>
      </w:r>
      <w:r>
        <w:t xml:space="preserve"> или проведени</w:t>
      </w:r>
      <w:r>
        <w:t xml:space="preserve">ем транзитной операции, а также иные количественные показатели определяются банком во внутренних нормативных документах с учетом вида (характера) и масштаба деятельности клиентов, их риск профиля, а также результатов оценки риска ФПД/ЛПД банка, результатов</w:t>
      </w:r>
      <w:r>
        <w:t xml:space="preserve"> национальной и секторальной оценки рисков.</w:t>
      </w:r>
      <w:r/>
    </w:p>
    <w:p>
      <w:pPr>
        <w:pBdr/>
        <w:spacing/>
        <w:ind/>
        <w:rPr/>
      </w:pPr>
      <w:r>
        <w:t xml:space="preserve">39-6. При выявлении факторов, имеющих признаки повышенного риска, предусмотренных пунктом 39-5 настоящего Положения, банк обязан провести дополнительные меры проверки операции, включающие: </w:t>
      </w:r>
      <w:r/>
    </w:p>
    <w:p>
      <w:pPr>
        <w:pBdr/>
        <w:spacing/>
        <w:ind/>
        <w:rPr/>
      </w:pPr>
      <w:r>
        <w:t xml:space="preserve">1. анализ характера взаимоотношений клиента с отправителем/получателем денежных средств, назначения платежа и соответствия его объема финансово-хозяйственной деятельности клиента;</w:t>
      </w:r>
      <w:r/>
    </w:p>
    <w:p>
      <w:pPr>
        <w:pBdr/>
        <w:spacing/>
        <w:ind/>
        <w:rPr/>
      </w:pPr>
      <w:r>
        <w:t xml:space="preserve">2. установление источника происхождения поступивших денежных средств и </w:t>
      </w:r>
      <w:r>
        <w:t xml:space="preserve">получение</w:t>
      </w:r>
      <w:r>
        <w:t xml:space="preserve"> и анализ документов и сведений, подтверждающих экономическое основание операции; </w:t>
      </w:r>
      <w:r/>
    </w:p>
    <w:p>
      <w:pPr>
        <w:pBdr/>
        <w:spacing/>
        <w:ind/>
        <w:rPr/>
      </w:pPr>
      <w:r>
        <w:t xml:space="preserve">3. установление цели осуществления операции по </w:t>
      </w:r>
      <w:r>
        <w:t xml:space="preserve">обналичиванию</w:t>
      </w:r>
      <w:r>
        <w:t xml:space="preserve"> денежных средств и ее соответствие характеру и масштабу финансово-хозяйственной деятельности клиента; </w:t>
      </w:r>
      <w:r/>
    </w:p>
    <w:p>
      <w:pPr>
        <w:pBdr/>
        <w:spacing/>
        <w:ind/>
        <w:rPr/>
      </w:pPr>
      <w:r>
        <w:t xml:space="preserve">4. анализ предшествующего движения денежных средств, включая период между их поступлением на банковский счет и обращением клиента за выдачей наличных денежных средств.</w:t>
      </w:r>
      <w:r/>
    </w:p>
    <w:p>
      <w:pPr>
        <w:pBdr/>
        <w:spacing/>
        <w:ind/>
        <w:rPr/>
      </w:pPr>
      <w:r>
        <w:t xml:space="preserve">В случае отказа клиента </w:t>
      </w:r>
      <w:r>
        <w:t xml:space="preserve">предоставить требуемые документы</w:t>
      </w:r>
      <w:r>
        <w:t xml:space="preserve"> в установленные сроки банк должен отказать в проведении операции по счету. </w:t>
      </w:r>
      <w:r/>
    </w:p>
    <w:p>
      <w:pPr>
        <w:pBdr/>
        <w:spacing/>
        <w:ind/>
        <w:rPr/>
      </w:pPr>
      <w:r>
        <w:t xml:space="preserve">В случае если по итогам дополнительной проверки у банка возникнут подозрения, что операции (сделки) связаны с финансированием преступной деятельности и легализацией (отмыванием) преступных доходов, банк должен применить следующие меры:</w:t>
      </w:r>
      <w:r/>
    </w:p>
    <w:p>
      <w:pPr>
        <w:pBdr/>
        <w:spacing/>
        <w:ind/>
        <w:rPr/>
      </w:pPr>
      <w:r>
        <w:t xml:space="preserve">- приостановить подозрительную операцию (сделку) в порядке и на срок, установленные законодательством Кыргызской Республики в сфере ПФПД/ЛПД, и/или</w:t>
      </w:r>
      <w:r/>
    </w:p>
    <w:p>
      <w:pPr>
        <w:pBdr/>
        <w:spacing/>
        <w:ind/>
        <w:rPr/>
      </w:pPr>
      <w:r>
        <w:t xml:space="preserve">- приостановить или прекратить деловые отношения с клиентом.</w:t>
      </w:r>
      <w:r/>
    </w:p>
    <w:p>
      <w:pPr>
        <w:pBdr/>
        <w:spacing/>
        <w:ind/>
        <w:rPr/>
      </w:pPr>
      <w:r>
        <w:t xml:space="preserve">39-7. Банк должен обеспечить учет операций по </w:t>
      </w:r>
      <w:r>
        <w:t xml:space="preserve">обналичиванию</w:t>
      </w:r>
      <w:r>
        <w:t xml:space="preserve"> денежных средств и транзитных операций по счетам юридических лиц и индивидуальных предпринимателей, в отношении которых выявлены признаки повышенного риска, предусмотренные пунктом 39-5, и результатов применения мер по снижению выявленных рисков.</w:t>
      </w:r>
      <w:r/>
    </w:p>
    <w:p>
      <w:pPr>
        <w:pBdr/>
        <w:spacing/>
        <w:ind/>
        <w:rPr/>
      </w:pPr>
      <w:r>
        <w:t xml:space="preserve">Учет должен содержать как минимум информацию о количестве и объеме операций по </w:t>
      </w:r>
      <w:r>
        <w:t xml:space="preserve">обналичиванию</w:t>
      </w:r>
      <w:r>
        <w:t xml:space="preserve"> денежных средств и транзитных операций:</w:t>
      </w:r>
      <w:r/>
    </w:p>
    <w:p>
      <w:pPr>
        <w:pBdr/>
        <w:spacing/>
        <w:ind/>
        <w:rPr/>
      </w:pPr>
      <w:r>
        <w:t xml:space="preserve">- в </w:t>
      </w:r>
      <w:r>
        <w:t xml:space="preserve">отношении</w:t>
      </w:r>
      <w:r>
        <w:t xml:space="preserve"> которых выявлены признаки повышенного риска;</w:t>
      </w:r>
      <w:r/>
    </w:p>
    <w:p>
      <w:pPr>
        <w:pBdr/>
        <w:spacing/>
        <w:ind/>
        <w:rPr/>
      </w:pPr>
      <w:r>
        <w:t xml:space="preserve">- которые не были проведены по основаниям, предусмотренным законодательством в сфере ПФПД/ЛПД;</w:t>
      </w:r>
      <w:r/>
    </w:p>
    <w:p>
      <w:pPr>
        <w:pBdr/>
        <w:spacing/>
        <w:ind/>
        <w:rPr/>
      </w:pPr>
      <w:r>
        <w:t xml:space="preserve">- которые признаны подозрительными и по ним направлены сообщения в уполномоченный орган финансовой разведки.</w:t>
      </w:r>
      <w:r/>
    </w:p>
    <w:p>
      <w:pPr>
        <w:pBdr/>
        <w:spacing/>
        <w:ind/>
        <w:rPr/>
      </w:pPr>
      <w:r>
        <w:t xml:space="preserve">Информация, предусмотренная настоящим пунктом, используется банком для оценки эффективности применяемых мер по управлению и снижению рисков ФПД/ЛПД, связанных с операциями по </w:t>
      </w:r>
      <w:r>
        <w:t xml:space="preserve">обналичиванию</w:t>
      </w:r>
      <w:r>
        <w:t xml:space="preserve"> денежных средств и транзитными операциями, и предоставляется Национальному банку по его запросу</w:t>
      </w:r>
      <w:r>
        <w:t xml:space="preserve">.».</w:t>
      </w:r>
      <w:r/>
    </w:p>
    <w:p>
      <w:pPr>
        <w:pBdr/>
        <w:spacing/>
        <w:ind w:firstLine="0"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6">
    <w:name w:val="Table Grid"/>
    <w:basedOn w:val="82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7">
    <w:name w:val="Table Grid Light"/>
    <w:basedOn w:val="8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8">
    <w:name w:val="Plain Table 1"/>
    <w:basedOn w:val="8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9">
    <w:name w:val="Plain Table 2"/>
    <w:basedOn w:val="8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0">
    <w:name w:val="Plain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1">
    <w:name w:val="Plain Table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2">
    <w:name w:val="Plain Table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3">
    <w:name w:val="Grid Table 1 Light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4">
    <w:name w:val="Grid Table 1 Light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5">
    <w:name w:val="Grid Table 1 Light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6">
    <w:name w:val="Grid Table 1 Light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7">
    <w:name w:val="Grid Table 1 Light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8">
    <w:name w:val="Grid Table 1 Light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9">
    <w:name w:val="Grid Table 1 Light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0">
    <w:name w:val="Grid Table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1">
    <w:name w:val="Grid Table 2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2">
    <w:name w:val="Grid Table 2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3">
    <w:name w:val="Grid Table 2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Grid Table 2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Grid Table 2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Grid Table 2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Grid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Grid Table 3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Grid Table 3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3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3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3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3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4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4 - Accent 1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4 - Accent 2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4 - Accent 3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4 - Accent 4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4 - Accent 5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4 - Accent 6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5 Dark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5 Dark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5 Dark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5 Dark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5 Dark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5 Dark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5 Dark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6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6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6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6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6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6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6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7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7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7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7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7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7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7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List Table 1 Light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List Table 1 Light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List Table 1 Light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List Table 1 Light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List Table 1 Light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List Table 1 Light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List Table 1 Light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List Table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List Table 2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List Table 2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List Table 2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List Table 2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List Table 2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List Table 2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List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List Table 3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List Table 3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3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3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3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3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4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4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4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4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4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4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5 Dark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5 Dark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5 Dark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5 Dark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5 Dark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5 Dark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5 Dark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6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6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6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6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6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6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6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7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7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7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7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7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7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7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ned - Accent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ned - Accent 1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ned - Accent 2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ned - Accent 3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ned - Accent 4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ned - Accent 5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ned - Accent 6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Bordered &amp; Lined - Accent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Bordered &amp; Lined - Accent 1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Bordered &amp; Lined - Accent 2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Bordered &amp; Lined - Accent 3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Bordered &amp; Lined - Accent 4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Bordered &amp; Lined - Accent 5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Bordered &amp; Lined - Accent 6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Bordered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Bordered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Bordered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Bordered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Bordered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Bordered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Bordered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92">
    <w:name w:val="Heading 1 Char"/>
    <w:basedOn w:val="827"/>
    <w:link w:val="81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93">
    <w:name w:val="Heading 2 Char"/>
    <w:basedOn w:val="827"/>
    <w:link w:val="8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94">
    <w:name w:val="Heading 3 Char"/>
    <w:basedOn w:val="827"/>
    <w:link w:val="8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95">
    <w:name w:val="Heading 4 Char"/>
    <w:basedOn w:val="827"/>
    <w:link w:val="82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96">
    <w:name w:val="Heading 5 Char"/>
    <w:basedOn w:val="827"/>
    <w:link w:val="8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97">
    <w:name w:val="Heading 6 Char"/>
    <w:basedOn w:val="827"/>
    <w:link w:val="82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98">
    <w:name w:val="Heading 7 Char"/>
    <w:basedOn w:val="827"/>
    <w:link w:val="82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99">
    <w:name w:val="Heading 8 Char"/>
    <w:basedOn w:val="827"/>
    <w:link w:val="8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0">
    <w:name w:val="Heading 9 Char"/>
    <w:basedOn w:val="827"/>
    <w:link w:val="82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1">
    <w:name w:val="Title Char"/>
    <w:basedOn w:val="827"/>
    <w:link w:val="83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02">
    <w:name w:val="Subtitle Char"/>
    <w:basedOn w:val="827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03">
    <w:name w:val="Quote Char"/>
    <w:basedOn w:val="827"/>
    <w:link w:val="85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04">
    <w:name w:val="Intense Quote Char"/>
    <w:basedOn w:val="827"/>
    <w:link w:val="855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805">
    <w:name w:val="Header"/>
    <w:basedOn w:val="817"/>
    <w:link w:val="80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06">
    <w:name w:val="Header Char"/>
    <w:basedOn w:val="827"/>
    <w:link w:val="805"/>
    <w:uiPriority w:val="99"/>
    <w:pPr>
      <w:pBdr/>
      <w:spacing/>
      <w:ind/>
    </w:pPr>
  </w:style>
  <w:style w:type="paragraph" w:styleId="807">
    <w:name w:val="Footer"/>
    <w:basedOn w:val="817"/>
    <w:link w:val="80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08">
    <w:name w:val="Footer Char"/>
    <w:basedOn w:val="827"/>
    <w:link w:val="807"/>
    <w:uiPriority w:val="99"/>
    <w:pPr>
      <w:pBdr/>
      <w:spacing/>
      <w:ind/>
    </w:pPr>
  </w:style>
  <w:style w:type="paragraph" w:styleId="809">
    <w:name w:val="footnote text"/>
    <w:basedOn w:val="817"/>
    <w:link w:val="81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10">
    <w:name w:val="Footnote Text Char"/>
    <w:basedOn w:val="827"/>
    <w:link w:val="809"/>
    <w:uiPriority w:val="99"/>
    <w:semiHidden/>
    <w:pPr>
      <w:pBdr/>
      <w:spacing/>
      <w:ind/>
    </w:pPr>
    <w:rPr>
      <w:sz w:val="20"/>
      <w:szCs w:val="20"/>
    </w:rPr>
  </w:style>
  <w:style w:type="character" w:styleId="811">
    <w:name w:val="footnote reference"/>
    <w:basedOn w:val="827"/>
    <w:uiPriority w:val="99"/>
    <w:semiHidden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17"/>
    <w:link w:val="81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13">
    <w:name w:val="Endnote Text Char"/>
    <w:basedOn w:val="827"/>
    <w:link w:val="812"/>
    <w:uiPriority w:val="99"/>
    <w:semiHidden/>
    <w:pPr>
      <w:pBdr/>
      <w:spacing/>
      <w:ind/>
    </w:pPr>
    <w:rPr>
      <w:sz w:val="20"/>
      <w:szCs w:val="20"/>
    </w:rPr>
  </w:style>
  <w:style w:type="character" w:styleId="814">
    <w:name w:val="endnote reference"/>
    <w:basedOn w:val="827"/>
    <w:uiPriority w:val="99"/>
    <w:semiHidden/>
    <w:unhideWhenUsed/>
    <w:pPr>
      <w:pBdr/>
      <w:spacing/>
      <w:ind/>
    </w:pPr>
    <w:rPr>
      <w:vertAlign w:val="superscript"/>
    </w:rPr>
  </w:style>
  <w:style w:type="character" w:styleId="815">
    <w:name w:val="FollowedHyperlink"/>
    <w:basedOn w:val="82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16">
    <w:name w:val="table of figures"/>
    <w:basedOn w:val="817"/>
    <w:next w:val="817"/>
    <w:uiPriority w:val="99"/>
    <w:unhideWhenUsed/>
    <w:pPr>
      <w:pBdr/>
      <w:spacing w:after="0" w:afterAutospacing="0"/>
      <w:ind/>
    </w:pPr>
  </w:style>
  <w:style w:type="paragraph" w:styleId="817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/>
      <w:sz w:val="24"/>
    </w:rPr>
  </w:style>
  <w:style w:type="paragraph" w:styleId="818">
    <w:name w:val="Heading 1"/>
    <w:basedOn w:val="817"/>
    <w:next w:val="817"/>
    <w:link w:val="836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819">
    <w:name w:val="Heading 2"/>
    <w:basedOn w:val="817"/>
    <w:next w:val="817"/>
    <w:link w:val="837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820">
    <w:name w:val="Heading 3"/>
    <w:basedOn w:val="817"/>
    <w:next w:val="817"/>
    <w:link w:val="838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</w:rPr>
  </w:style>
  <w:style w:type="paragraph" w:styleId="821">
    <w:name w:val="Heading 4"/>
    <w:basedOn w:val="817"/>
    <w:next w:val="817"/>
    <w:link w:val="839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</w:rPr>
  </w:style>
  <w:style w:type="paragraph" w:styleId="822">
    <w:name w:val="Heading 5"/>
    <w:basedOn w:val="817"/>
    <w:next w:val="817"/>
    <w:link w:val="840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823">
    <w:name w:val="Heading 6"/>
    <w:basedOn w:val="817"/>
    <w:next w:val="817"/>
    <w:link w:val="841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824">
    <w:name w:val="Heading 7"/>
    <w:basedOn w:val="817"/>
    <w:next w:val="817"/>
    <w:link w:val="842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25">
    <w:name w:val="Heading 8"/>
    <w:basedOn w:val="817"/>
    <w:next w:val="817"/>
    <w:link w:val="843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826">
    <w:name w:val="Heading 9"/>
    <w:basedOn w:val="817"/>
    <w:next w:val="817"/>
    <w:link w:val="844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827" w:default="1">
    <w:name w:val="Default Paragraph Font"/>
    <w:uiPriority w:val="1"/>
    <w:unhideWhenUsed/>
    <w:pPr>
      <w:pBdr/>
      <w:spacing/>
      <w:ind/>
    </w:pPr>
  </w:style>
  <w:style w:type="table" w:styleId="82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9" w:default="1">
    <w:name w:val="No List"/>
    <w:uiPriority w:val="99"/>
    <w:semiHidden/>
    <w:unhideWhenUsed/>
    <w:pPr>
      <w:pBdr/>
      <w:spacing/>
      <w:ind/>
    </w:pPr>
  </w:style>
  <w:style w:type="paragraph" w:styleId="830" w:customStyle="1">
    <w:name w:val="Реквизит"/>
    <w:basedOn w:val="817"/>
    <w:pPr>
      <w:pBdr/>
      <w:spacing w:after="240"/>
      <w:ind w:firstLine="0"/>
      <w:jc w:val="left"/>
    </w:pPr>
  </w:style>
  <w:style w:type="paragraph" w:styleId="831">
    <w:name w:val="Title"/>
    <w:basedOn w:val="817"/>
    <w:link w:val="832"/>
    <w:uiPriority w:val="10"/>
    <w:qFormat/>
    <w:pPr>
      <w:pBdr/>
      <w:spacing w:after="480"/>
      <w:ind w:firstLine="0"/>
      <w:jc w:val="center"/>
    </w:pPr>
    <w:rPr>
      <w:rFonts w:eastAsiaTheme="minorEastAsia"/>
      <w:b/>
      <w:bCs/>
      <w:spacing w:val="5"/>
      <w:sz w:val="28"/>
      <w:szCs w:val="28"/>
    </w:rPr>
  </w:style>
  <w:style w:type="character" w:styleId="832" w:customStyle="1">
    <w:name w:val="Название Знак"/>
    <w:basedOn w:val="827"/>
    <w:link w:val="831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33">
    <w:name w:val="Message Header"/>
    <w:basedOn w:val="817"/>
    <w:link w:val="834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szCs w:val="24"/>
    </w:rPr>
  </w:style>
  <w:style w:type="character" w:styleId="834" w:customStyle="1">
    <w:name w:val="Шапка Знак"/>
    <w:basedOn w:val="827"/>
    <w:link w:val="833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35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36" w:customStyle="1">
    <w:name w:val="Заголовок 1 Знак"/>
    <w:basedOn w:val="827"/>
    <w:link w:val="818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37" w:customStyle="1">
    <w:name w:val="Заголовок 2 Знак"/>
    <w:basedOn w:val="827"/>
    <w:link w:val="819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38" w:customStyle="1">
    <w:name w:val="Заголовок 3 Знак"/>
    <w:basedOn w:val="827"/>
    <w:link w:val="820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39" w:customStyle="1">
    <w:name w:val="Заголовок 4 Знак"/>
    <w:basedOn w:val="827"/>
    <w:link w:val="821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0" w:customStyle="1">
    <w:name w:val="Заголовок 5 Знак"/>
    <w:basedOn w:val="827"/>
    <w:link w:val="82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  <w:sz w:val="24"/>
    </w:rPr>
  </w:style>
  <w:style w:type="character" w:styleId="841" w:customStyle="1">
    <w:name w:val="Заголовок 6 Знак"/>
    <w:basedOn w:val="827"/>
    <w:link w:val="82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  <w:sz w:val="24"/>
    </w:rPr>
  </w:style>
  <w:style w:type="character" w:styleId="842" w:customStyle="1">
    <w:name w:val="Заголовок 7 Знак"/>
    <w:basedOn w:val="827"/>
    <w:link w:val="82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4"/>
    </w:rPr>
  </w:style>
  <w:style w:type="character" w:styleId="843" w:customStyle="1">
    <w:name w:val="Заголовок 8 Знак"/>
    <w:basedOn w:val="827"/>
    <w:link w:val="82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44" w:customStyle="1">
    <w:name w:val="Заголовок 9 Знак"/>
    <w:basedOn w:val="827"/>
    <w:link w:val="826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45">
    <w:name w:val="Caption"/>
    <w:basedOn w:val="817"/>
    <w:next w:val="817"/>
    <w:uiPriority w:val="35"/>
    <w:semiHidden/>
    <w:qFormat/>
    <w:pPr>
      <w:pBdr/>
      <w:spacing/>
      <w:ind/>
    </w:pPr>
    <w:rPr>
      <w:b/>
      <w:bCs/>
      <w:color w:val="4f81bd" w:themeColor="accent1"/>
      <w:sz w:val="18"/>
      <w:szCs w:val="18"/>
    </w:rPr>
  </w:style>
  <w:style w:type="paragraph" w:styleId="846">
    <w:name w:val="Signature"/>
    <w:basedOn w:val="817"/>
    <w:link w:val="847"/>
    <w:uiPriority w:val="99"/>
    <w:pPr>
      <w:pBdr/>
      <w:spacing w:after="0"/>
      <w:ind w:firstLine="0"/>
      <w:jc w:val="left"/>
    </w:pPr>
    <w:rPr>
      <w:b/>
    </w:rPr>
  </w:style>
  <w:style w:type="character" w:styleId="847" w:customStyle="1">
    <w:name w:val="Подпись Знак"/>
    <w:basedOn w:val="827"/>
    <w:link w:val="846"/>
    <w:uiPriority w:val="99"/>
    <w:pPr>
      <w:pBdr/>
      <w:spacing/>
      <w:ind/>
    </w:pPr>
    <w:rPr>
      <w:rFonts w:ascii="Arial" w:hAnsi="Arial"/>
      <w:b/>
      <w:sz w:val="24"/>
    </w:rPr>
  </w:style>
  <w:style w:type="paragraph" w:styleId="848">
    <w:name w:val="Subtitle"/>
    <w:basedOn w:val="817"/>
    <w:next w:val="817"/>
    <w:link w:val="849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</w:rPr>
  </w:style>
  <w:style w:type="character" w:styleId="849" w:customStyle="1">
    <w:name w:val="Подзаголовок Знак"/>
    <w:basedOn w:val="827"/>
    <w:link w:val="848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0">
    <w:name w:val="Strong"/>
    <w:basedOn w:val="827"/>
    <w:uiPriority w:val="22"/>
    <w:semiHidden/>
    <w:qFormat/>
    <w:pPr>
      <w:pBdr/>
      <w:spacing/>
      <w:ind/>
    </w:pPr>
    <w:rPr>
      <w:b/>
      <w:bCs/>
    </w:rPr>
  </w:style>
  <w:style w:type="character" w:styleId="851">
    <w:name w:val="Emphasis"/>
    <w:basedOn w:val="827"/>
    <w:uiPriority w:val="20"/>
    <w:semiHidden/>
    <w:qFormat/>
    <w:pPr>
      <w:pBdr/>
      <w:spacing/>
      <w:ind/>
    </w:pPr>
    <w:rPr>
      <w:i/>
      <w:iCs/>
    </w:rPr>
  </w:style>
  <w:style w:type="paragraph" w:styleId="852">
    <w:name w:val="List Paragraph"/>
    <w:basedOn w:val="817"/>
    <w:uiPriority w:val="34"/>
    <w:semiHidden/>
    <w:qFormat/>
    <w:pPr>
      <w:pBdr/>
      <w:spacing/>
      <w:ind w:left="720"/>
      <w:contextualSpacing w:val="true"/>
    </w:pPr>
  </w:style>
  <w:style w:type="paragraph" w:styleId="853">
    <w:name w:val="Quote"/>
    <w:basedOn w:val="817"/>
    <w:next w:val="817"/>
    <w:link w:val="854"/>
    <w:uiPriority w:val="29"/>
    <w:semiHidden/>
    <w:qFormat/>
    <w:pPr>
      <w:pBdr/>
      <w:spacing/>
      <w:ind/>
    </w:pPr>
    <w:rPr>
      <w:i/>
      <w:iCs/>
      <w:color w:val="000000" w:themeColor="text1"/>
    </w:rPr>
  </w:style>
  <w:style w:type="character" w:styleId="854" w:customStyle="1">
    <w:name w:val="Цитата 2 Знак"/>
    <w:basedOn w:val="827"/>
    <w:link w:val="853"/>
    <w:uiPriority w:val="29"/>
    <w:semiHidden/>
    <w:pPr>
      <w:pBdr/>
      <w:spacing/>
      <w:ind/>
    </w:pPr>
    <w:rPr>
      <w:rFonts w:ascii="Arial" w:hAnsi="Arial"/>
      <w:i/>
      <w:iCs/>
      <w:color w:val="000000" w:themeColor="text1"/>
      <w:sz w:val="24"/>
    </w:rPr>
  </w:style>
  <w:style w:type="paragraph" w:styleId="855">
    <w:name w:val="Intense Quote"/>
    <w:basedOn w:val="817"/>
    <w:next w:val="817"/>
    <w:link w:val="856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856" w:customStyle="1">
    <w:name w:val="Выделенная цитата Знак"/>
    <w:basedOn w:val="827"/>
    <w:link w:val="855"/>
    <w:uiPriority w:val="30"/>
    <w:semiHidden/>
    <w:pPr>
      <w:pBdr/>
      <w:spacing/>
      <w:ind/>
    </w:pPr>
    <w:rPr>
      <w:rFonts w:ascii="Arial" w:hAnsi="Arial"/>
      <w:b/>
      <w:bCs/>
      <w:i/>
      <w:iCs/>
      <w:color w:val="4f81bd" w:themeColor="accent1"/>
      <w:sz w:val="24"/>
    </w:rPr>
  </w:style>
  <w:style w:type="character" w:styleId="857">
    <w:name w:val="Subtle Emphasis"/>
    <w:basedOn w:val="827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58">
    <w:name w:val="Intense Emphasis"/>
    <w:basedOn w:val="827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59">
    <w:name w:val="Subtle Reference"/>
    <w:basedOn w:val="827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0">
    <w:name w:val="Intense Reference"/>
    <w:basedOn w:val="827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1">
    <w:name w:val="Book Title"/>
    <w:basedOn w:val="827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62">
    <w:name w:val="TOC Heading"/>
    <w:basedOn w:val="818"/>
    <w:next w:val="817"/>
    <w:uiPriority w:val="39"/>
    <w:semiHidden/>
    <w:qFormat/>
    <w:pPr>
      <w:pBdr/>
      <w:spacing/>
      <w:ind/>
      <w:outlineLvl w:val="9"/>
    </w:pPr>
  </w:style>
  <w:style w:type="paragraph" w:styleId="863">
    <w:name w:val="Normal Indent"/>
    <w:basedOn w:val="817"/>
    <w:uiPriority w:val="99"/>
    <w:semiHidden/>
    <w:pPr>
      <w:pBdr/>
      <w:spacing/>
      <w:ind w:left="708"/>
    </w:pPr>
  </w:style>
  <w:style w:type="paragraph" w:styleId="864">
    <w:name w:val="annotation text"/>
    <w:basedOn w:val="817"/>
    <w:link w:val="865"/>
    <w:uiPriority w:val="99"/>
    <w:pPr>
      <w:pBdr/>
      <w:spacing w:after="240" w:before="120"/>
      <w:ind w:firstLine="0"/>
      <w:jc w:val="left"/>
    </w:pPr>
    <w:rPr>
      <w:i/>
      <w:szCs w:val="20"/>
    </w:rPr>
  </w:style>
  <w:style w:type="character" w:styleId="865" w:customStyle="1">
    <w:name w:val="Текст примечания Знак"/>
    <w:basedOn w:val="827"/>
    <w:link w:val="864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66" w:customStyle="1">
    <w:name w:val="Редакции"/>
    <w:basedOn w:val="817"/>
    <w:pPr>
      <w:pBdr/>
      <w:spacing w:after="240"/>
      <w:ind w:firstLine="0"/>
      <w:jc w:val="center"/>
    </w:pPr>
    <w:rPr>
      <w:rFonts w:cs="Arial" w:eastAsiaTheme="minorEastAsia"/>
      <w:i/>
      <w:iCs/>
      <w:szCs w:val="24"/>
      <w:lang w:eastAsia="ru-RU"/>
    </w:rPr>
  </w:style>
  <w:style w:type="paragraph" w:styleId="867" w:customStyle="1">
    <w:name w:val="Таблица"/>
    <w:basedOn w:val="817"/>
    <w:qFormat/>
    <w:pPr>
      <w:pBdr/>
      <w:spacing/>
      <w:ind w:firstLine="0"/>
    </w:pPr>
  </w:style>
  <w:style w:type="character" w:styleId="868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69">
    <w:name w:val="Balloon Text"/>
    <w:basedOn w:val="817"/>
    <w:link w:val="870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0" w:customStyle="1">
    <w:name w:val="Текст выноски Знак"/>
    <w:basedOn w:val="827"/>
    <w:link w:val="869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#st_5" TargetMode="External"/><Relationship Id="rId10" Type="http://schemas.openxmlformats.org/officeDocument/2006/relationships/hyperlink" Target="https://cbd.minjust.gov.kg/112424/edition/#st_9" TargetMode="External"/><Relationship Id="rId11" Type="http://schemas.openxmlformats.org/officeDocument/2006/relationships/hyperlink" Target="https://cbd.minjust.gov.kg/112424/edition/#st_64" TargetMode="External"/><Relationship Id="rId12" Type="http://schemas.openxmlformats.org/officeDocument/2006/relationships/hyperlink" Target="https://cbd.minjust.gov.kg/8-959/edition/#pr" TargetMode="External"/><Relationship Id="rId13" Type="http://schemas.openxmlformats.org/officeDocument/2006/relationships/hyperlink" Target="https://cbd.minjust.gov.kg/8-959/edition/60422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20</cp:revision>
  <dcterms:created xsi:type="dcterms:W3CDTF">2026-06-26T08:02:00Z</dcterms:created>
  <dcterms:modified xsi:type="dcterms:W3CDTF">2026-10-21T06:01:36Z</dcterms:modified>
</cp:coreProperties>
</file>