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F96DF" w14:textId="77777777" w:rsidR="00DC0DFF" w:rsidRDefault="00DC0DFF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12B24F6E" wp14:editId="5D9DDA58">
            <wp:extent cx="1152525" cy="1152525"/>
            <wp:effectExtent l="0" t="0" r="9525" b="9525"/>
            <wp:docPr id="1" name="Рисунок 3" descr="Описание: Описание: Описание: Описание: Описание: C:\Users\User\AppData\Local\Temp\CdbDocEditor\6b39e3fa-b06a-42bd-b8b1-6c1e260e4f63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C:\Users\User\AppData\Local\Temp\CdbDocEditor\6b39e3fa-b06a-42bd-b8b1-6c1e260e4f63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BB9C9" w14:textId="77777777" w:rsidR="00DC0DFF" w:rsidRDefault="00DC0DFF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7B532683" w14:textId="77777777" w:rsidR="00DC0DFF" w:rsidRDefault="00DC0DFF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FF96F45" w14:textId="77777777" w:rsidR="00DC0DFF" w:rsidRDefault="00DC0DFF">
      <w:pPr>
        <w:spacing w:after="240"/>
      </w:pPr>
      <w:r>
        <w:rPr>
          <w:rFonts w:ascii="Arial" w:hAnsi="Arial" w:cs="Arial"/>
        </w:rPr>
        <w:t>от 30 мая 2014 года № 24/10</w:t>
      </w:r>
    </w:p>
    <w:p w14:paraId="5F2E7152" w14:textId="77777777" w:rsidR="00DC0DFF" w:rsidRDefault="00DC0DFF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изменений в некоторые постановления Национального банка Кыргызской Республики</w:t>
      </w:r>
    </w:p>
    <w:p w14:paraId="13BE4D07" w14:textId="77777777" w:rsidR="00DC0DFF" w:rsidRDefault="00DC0DFF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31 мая 2017 года № 21/7</w:t>
        </w:r>
      </w:hyperlink>
      <w:r>
        <w:rPr>
          <w:rFonts w:ascii="Arial" w:hAnsi="Arial" w:cs="Arial"/>
          <w:i/>
          <w:iCs/>
        </w:rPr>
        <w:t>)</w:t>
      </w:r>
    </w:p>
    <w:p w14:paraId="069DD126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соответствии со статьями 7 и 43 </w:t>
      </w:r>
      <w:hyperlink r:id="rId6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 w14:paraId="6F6D5CD8" w14:textId="77777777" w:rsidR="00DC0DFF" w:rsidRDefault="00DC0DFF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518FB398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Внести прилагаемые </w:t>
      </w:r>
      <w:hyperlink r:id="rId7" w:anchor="p1" w:history="1">
        <w:r>
          <w:rPr>
            <w:rStyle w:val="a3"/>
            <w:rFonts w:ascii="Arial" w:hAnsi="Arial" w:cs="Arial"/>
          </w:rPr>
          <w:t>изменения</w:t>
        </w:r>
      </w:hyperlink>
      <w:r>
        <w:rPr>
          <w:rFonts w:ascii="Arial" w:hAnsi="Arial" w:cs="Arial"/>
        </w:rPr>
        <w:t xml:space="preserve"> в следующие постановления Правления Национального банка Кыргызской Республики:</w:t>
      </w:r>
    </w:p>
    <w:p w14:paraId="10E9A211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- </w:t>
      </w:r>
      <w:hyperlink r:id="rId8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"</w:t>
      </w:r>
      <w:hyperlink r:id="rId9" w:history="1">
        <w:r>
          <w:rPr>
            <w:rStyle w:val="a3"/>
            <w:rFonts w:ascii="Arial" w:hAnsi="Arial" w:cs="Arial"/>
          </w:rPr>
          <w:t>Временных правилах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Республики" от 19 февраля 2003 года № 4/2;</w:t>
      </w:r>
    </w:p>
    <w:p w14:paraId="6DFB2377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- (Абзац третий утратил силу в соответствии с </w:t>
      </w:r>
      <w:hyperlink r:id="rId10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31 мая 2017 года № 21/7);</w:t>
      </w:r>
    </w:p>
    <w:p w14:paraId="568C7C66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- </w:t>
      </w:r>
      <w:hyperlink r:id="rId1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минимальных требованиях по управлению кредитным риском в кредитных союзах" от 23 декабря 2009 года № 50/7;</w:t>
      </w:r>
    </w:p>
    <w:p w14:paraId="668D2BBF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- </w:t>
      </w:r>
      <w:hyperlink r:id="rId1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4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r:id="rId15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периодическом регулятивном отчете микрофинансовой компании" от 27 мая 2009 года № 25/3.</w:t>
      </w:r>
    </w:p>
    <w:p w14:paraId="50D41E4B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2. Юридическому управлению:</w:t>
      </w:r>
    </w:p>
    <w:p w14:paraId="749B1044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7BCBE58E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832654E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3. Настоящее постановление вступает в силу по истечении одного месяца со дня официального опубликования.</w:t>
      </w:r>
    </w:p>
    <w:p w14:paraId="206550C2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микрофинансовых организаций, Ассоциации микрофинансовых организаций, кредитных союзов, специализированного финансово-кредитного учреждения ОАО "Финансовая компания кредитных союзов",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69D7D9C5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18CA5CB8" w14:textId="77777777" w:rsidR="00DC0DFF" w:rsidRDefault="00DC0DFF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B2A0EB8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3C5E1" w14:textId="77777777" w:rsidR="00DC0DFF" w:rsidRDefault="00DC0DFF">
            <w:pPr>
              <w:spacing w:line="276" w:lineRule="auto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03B4" w14:textId="77777777" w:rsidR="00DC0DFF" w:rsidRDefault="00DC0DFF">
            <w:pPr>
              <w:spacing w:line="276" w:lineRule="auto"/>
              <w:jc w:val="right"/>
            </w:pPr>
            <w:r>
              <w:rPr>
                <w:rFonts w:ascii="Arial" w:hAnsi="Arial" w:cs="Arial"/>
                <w:b/>
                <w:bCs/>
              </w:rPr>
              <w:t>Т.С. Абдыгулов</w:t>
            </w:r>
          </w:p>
        </w:tc>
      </w:tr>
    </w:tbl>
    <w:p w14:paraId="27838C47" w14:textId="77777777" w:rsidR="00DC0DFF" w:rsidRDefault="00DC0DFF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96E69EF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934B0" w14:textId="77777777" w:rsidR="00DC0DFF" w:rsidRDefault="00DC0DFF">
            <w:pPr>
              <w:spacing w:after="12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74D49" w14:textId="77777777" w:rsidR="00DC0DFF" w:rsidRDefault="00DC0DFF">
            <w:pPr>
              <w:spacing w:line="276" w:lineRule="auto"/>
            </w:pPr>
            <w:bookmarkStart w:id="0" w:name="p1"/>
            <w:r>
              <w:rPr>
                <w:rFonts w:ascii="Arial" w:hAnsi="Arial" w:cs="Arial"/>
              </w:rPr>
              <w:t>Приложение</w:t>
            </w:r>
            <w:bookmarkEnd w:id="0"/>
            <w:r>
              <w:rPr>
                <w:rFonts w:ascii="Arial" w:hAnsi="Arial" w:cs="Arial"/>
              </w:rPr>
              <w:br/>
              <w:t xml:space="preserve">к </w:t>
            </w:r>
            <w:hyperlink r:id="rId16" w:history="1">
              <w:r>
                <w:rPr>
                  <w:rStyle w:val="a3"/>
                  <w:rFonts w:ascii="Arial" w:hAnsi="Arial" w:cs="Arial"/>
                </w:rPr>
                <w:t>постановлению</w:t>
              </w:r>
            </w:hyperlink>
            <w:r>
              <w:rPr>
                <w:rFonts w:ascii="Arial" w:hAnsi="Arial" w:cs="Arial"/>
              </w:rPr>
              <w:t xml:space="preserve"> Правления</w:t>
            </w:r>
          </w:p>
          <w:p w14:paraId="6A3C9B0B" w14:textId="77777777" w:rsidR="00DC0DFF" w:rsidRDefault="00DC0DFF">
            <w:pPr>
              <w:spacing w:line="276" w:lineRule="auto"/>
            </w:pPr>
            <w:r>
              <w:rPr>
                <w:rFonts w:ascii="Arial" w:hAnsi="Arial" w:cs="Arial"/>
              </w:rPr>
              <w:t>Национального банка</w:t>
            </w:r>
          </w:p>
          <w:p w14:paraId="3214F7AD" w14:textId="77777777" w:rsidR="00DC0DFF" w:rsidRDefault="00DC0DFF">
            <w:pPr>
              <w:spacing w:line="276" w:lineRule="auto"/>
            </w:pPr>
            <w:r>
              <w:rPr>
                <w:rFonts w:ascii="Arial" w:hAnsi="Arial" w:cs="Arial"/>
              </w:rPr>
              <w:t>Кыргызской Республики</w:t>
            </w:r>
            <w:r>
              <w:rPr>
                <w:rFonts w:ascii="Arial" w:hAnsi="Arial" w:cs="Arial"/>
              </w:rPr>
              <w:br/>
              <w:t>от 30 мая 2014 года № 24/10</w:t>
            </w:r>
          </w:p>
        </w:tc>
      </w:tr>
    </w:tbl>
    <w:p w14:paraId="4BE2D79B" w14:textId="77777777" w:rsidR="00DC0DFF" w:rsidRDefault="00DC0DFF">
      <w:pPr>
        <w:spacing w:line="276" w:lineRule="auto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4937F3C3" w14:textId="77777777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630B8" w14:textId="77777777" w:rsidR="00DC0DFF" w:rsidRDefault="00DC0DFF"/>
        </w:tc>
      </w:tr>
    </w:tbl>
    <w:p w14:paraId="028F4F6B" w14:textId="77777777" w:rsidR="00DC0DFF" w:rsidRDefault="00DC0DFF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ИЗМЕНЕНИЯ</w:t>
      </w:r>
      <w:r>
        <w:rPr>
          <w:rFonts w:ascii="Arial" w:hAnsi="Arial" w:cs="Arial"/>
          <w:b/>
          <w:bCs/>
        </w:rPr>
        <w:br/>
        <w:t xml:space="preserve">в некоторые постановления </w:t>
      </w:r>
      <w:r>
        <w:rPr>
          <w:rFonts w:ascii="Arial" w:hAnsi="Arial" w:cs="Arial"/>
          <w:b/>
          <w:bCs/>
        </w:rPr>
        <w:t>Национального банка Кыргызской Республики</w:t>
      </w:r>
    </w:p>
    <w:p w14:paraId="4EE66B9A" w14:textId="77777777" w:rsidR="00DC0DFF" w:rsidRDefault="00DC0DFF">
      <w:pPr>
        <w:spacing w:after="120"/>
        <w:ind w:firstLine="397"/>
        <w:jc w:val="both"/>
      </w:pPr>
      <w:r>
        <w:t> </w:t>
      </w:r>
    </w:p>
    <w:p w14:paraId="78BAC178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Внести в </w:t>
      </w:r>
      <w:hyperlink r:id="rId17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"</w:t>
      </w:r>
      <w:hyperlink r:id="rId18" w:history="1">
        <w:r>
          <w:rPr>
            <w:rStyle w:val="a3"/>
            <w:rFonts w:ascii="Arial" w:hAnsi="Arial" w:cs="Arial"/>
          </w:rPr>
          <w:t>Временных правилах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следующее изменение:</w:t>
      </w:r>
    </w:p>
    <w:p w14:paraId="2F9D1739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во </w:t>
      </w:r>
      <w:hyperlink r:id="rId19" w:history="1">
        <w:r>
          <w:rPr>
            <w:rStyle w:val="a3"/>
            <w:rFonts w:ascii="Arial" w:hAnsi="Arial" w:cs="Arial"/>
          </w:rPr>
          <w:t>Временных правилах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Республики, утвержденных вышеуказанным </w:t>
      </w:r>
      <w:hyperlink r:id="rId2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3890BEA6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подпункт 2.3.1. пункта 2.3. изложить в следующей редакции:</w:t>
      </w:r>
    </w:p>
    <w:p w14:paraId="23EEB116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"2.3.1. Расчет собственного капитала МФК (на дату оценки) производится на основе следующих показателей:</w:t>
      </w:r>
    </w:p>
    <w:p w14:paraId="170C571C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полностью оплаченного уставного капитала;</w:t>
      </w:r>
    </w:p>
    <w:p w14:paraId="4F7696E7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капитала, внесенного сверх номинала;</w:t>
      </w:r>
    </w:p>
    <w:p w14:paraId="1387EB92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дополнительного капитала, внесенного физическими и юридическими лицами;</w:t>
      </w:r>
    </w:p>
    <w:p w14:paraId="6064F6BC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резервов для будущих потребностей;</w:t>
      </w:r>
    </w:p>
    <w:p w14:paraId="1C5A7B11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нераспределенной прибыли/убытков прошлых лет;</w:t>
      </w:r>
    </w:p>
    <w:p w14:paraId="562FFCD0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убытков текущего года;</w:t>
      </w:r>
    </w:p>
    <w:p w14:paraId="0A0295E7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за минусом </w:t>
      </w:r>
      <w:r>
        <w:rPr>
          <w:rFonts w:ascii="Arial" w:hAnsi="Arial" w:cs="Arial"/>
        </w:rPr>
        <w:t>любых инвестиций в другие микрофинансовые организации и банки.".</w:t>
      </w:r>
    </w:p>
    <w:p w14:paraId="203D6655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2. (Утратил силу в соответствии с </w:t>
      </w:r>
      <w:hyperlink r:id="rId21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</w:t>
      </w:r>
      <w:r>
        <w:rPr>
          <w:rFonts w:ascii="Arial" w:hAnsi="Arial" w:cs="Arial"/>
          <w:i/>
          <w:iCs/>
        </w:rPr>
        <w:t>КР от 31 мая 2017 года № 21/7)</w:t>
      </w:r>
    </w:p>
    <w:p w14:paraId="6E8B932F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3. Внести в </w:t>
      </w:r>
      <w:hyperlink r:id="rId22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23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минимальных требованиях по управлению кредитным риском в кредитных союзах" от 23 декабря 2009 года № 50/7 следующее изменение:</w:t>
      </w:r>
    </w:p>
    <w:p w14:paraId="7B9A56C6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</w:t>
      </w:r>
      <w:hyperlink r:id="rId24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о минимальных требованиях по управлению кредитным риском в кредитных союзах, утвержденном вышеуказанным </w:t>
      </w:r>
      <w:hyperlink r:id="rId25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6AFFEEED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в пункте 1.1. слова ", имеющие дополнительную лицензию и заимствования от специализированного финансово-кредитного учреждения ОАО "Финансовая компания кредитных союзов" исключить.</w:t>
      </w:r>
    </w:p>
    <w:p w14:paraId="777DE3D2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4. Внести в </w:t>
      </w:r>
      <w:hyperlink r:id="rId26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27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r:id="rId28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периодическом регулятивном </w:t>
      </w:r>
      <w:r>
        <w:rPr>
          <w:rFonts w:ascii="Arial" w:hAnsi="Arial" w:cs="Arial"/>
        </w:rPr>
        <w:t>отчете микрофинансовой компании" от 27 мая 2009 года № 25/3 следующие изменения:</w:t>
      </w:r>
    </w:p>
    <w:p w14:paraId="3399D485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в </w:t>
      </w:r>
      <w:hyperlink r:id="rId29" w:anchor="pr2" w:history="1">
        <w:r>
          <w:rPr>
            <w:rStyle w:val="a3"/>
            <w:rFonts w:ascii="Arial" w:hAnsi="Arial" w:cs="Arial"/>
          </w:rPr>
          <w:t>Приложении 2</w:t>
        </w:r>
      </w:hyperlink>
      <w:r>
        <w:rPr>
          <w:rFonts w:ascii="Arial" w:hAnsi="Arial" w:cs="Arial"/>
        </w:rPr>
        <w:t xml:space="preserve"> Положения "О периодическом регулятивном отчете микрофинансовой компании", утвержденного вышеуказанным </w:t>
      </w:r>
      <w:hyperlink r:id="rId3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2F7AB514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1) в статье "21. Акционерный капитал" подраздела "В. Капитал" Раздела 1 "Регулятивный отчет о финансовом состоянии":</w:t>
      </w:r>
    </w:p>
    <w:p w14:paraId="1181940A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строку "в" изложить в следующей редакции:</w:t>
      </w:r>
    </w:p>
    <w:p w14:paraId="3318F9F5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"в) Капитал, внесенный сверх номинала</w:t>
      </w:r>
    </w:p>
    <w:p w14:paraId="6039F9ED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в-1) Дополнительный капитал, внесенный физическими и юридическими лицами";</w:t>
      </w:r>
    </w:p>
    <w:p w14:paraId="2B35F5B4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2) в подразделе 3А. "Изменения в структуре капитала" Раздела 3 "Капитал":</w:t>
      </w:r>
    </w:p>
    <w:p w14:paraId="501FD6DA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- строку 5 изложить в следующей редакции:</w:t>
      </w:r>
    </w:p>
    <w:p w14:paraId="70824894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"5. Капитал, внесенный сверх номинала, текущий год, чистый</w:t>
      </w:r>
    </w:p>
    <w:p w14:paraId="5127385F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5-1. Дополнительный капитал, внесенный физическими и юридическими лицами";</w:t>
      </w:r>
    </w:p>
    <w:p w14:paraId="68AA6FD9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в </w:t>
      </w:r>
      <w:hyperlink r:id="rId31" w:anchor="pr2" w:history="1">
        <w:r>
          <w:rPr>
            <w:rStyle w:val="a3"/>
            <w:rFonts w:ascii="Arial" w:hAnsi="Arial" w:cs="Arial"/>
          </w:rPr>
          <w:t>Приложении 2</w:t>
        </w:r>
      </w:hyperlink>
      <w:r>
        <w:rPr>
          <w:rFonts w:ascii="Arial" w:hAnsi="Arial" w:cs="Arial"/>
        </w:rPr>
        <w:t xml:space="preserve"> Положения "О периодическом регулятивном отчете микрокредитной компании/микрокредитного агентства", утвержденного вышеуказанным </w:t>
      </w:r>
      <w:hyperlink r:id="rId3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6D91C1C7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1) в Разделе 1 "Регулятивный отчет о финансовом состоянии" строку 27 изложить в следующей редакции:</w:t>
      </w:r>
    </w:p>
    <w:p w14:paraId="0BC3E95B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"27. Капитал, внесенный сверх номинала</w:t>
      </w:r>
    </w:p>
    <w:p w14:paraId="75DBF77C" w14:textId="77777777" w:rsidR="00DC0DFF" w:rsidRDefault="00DC0DFF">
      <w:pPr>
        <w:spacing w:after="120"/>
        <w:ind w:firstLine="397"/>
        <w:jc w:val="both"/>
      </w:pPr>
      <w:r>
        <w:rPr>
          <w:rFonts w:ascii="Arial" w:hAnsi="Arial" w:cs="Arial"/>
        </w:rPr>
        <w:t>27.1. Дополнительный капитал, внесенный физическими и юридическими лицами".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FF"/>
    <w:rsid w:val="00DC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4851E5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769" TargetMode="External"/><Relationship Id="rId13" Type="http://schemas.openxmlformats.org/officeDocument/2006/relationships/hyperlink" Target="https://cbd.minjust.gov.kg/301176" TargetMode="External"/><Relationship Id="rId18" Type="http://schemas.openxmlformats.org/officeDocument/2006/relationships/hyperlink" Target="https://cbd.minjust.gov.kg/30770" TargetMode="External"/><Relationship Id="rId26" Type="http://schemas.openxmlformats.org/officeDocument/2006/relationships/hyperlink" Target="https://cbd.minjust.gov.kg/30117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3039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cbd.minjust.gov.kg/302942" TargetMode="External"/><Relationship Id="rId12" Type="http://schemas.openxmlformats.org/officeDocument/2006/relationships/hyperlink" Target="https://cbd.minjust.gov.kg/302284" TargetMode="External"/><Relationship Id="rId17" Type="http://schemas.openxmlformats.org/officeDocument/2006/relationships/hyperlink" Target="https://cbd.minjust.gov.kg/30769" TargetMode="External"/><Relationship Id="rId25" Type="http://schemas.openxmlformats.org/officeDocument/2006/relationships/hyperlink" Target="https://cbd.minjust.gov.kg/301265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942" TargetMode="External"/><Relationship Id="rId20" Type="http://schemas.openxmlformats.org/officeDocument/2006/relationships/hyperlink" Target="https://cbd.minjust.gov.kg/30769" TargetMode="External"/><Relationship Id="rId29" Type="http://schemas.openxmlformats.org/officeDocument/2006/relationships/hyperlink" Target="toktom://db/91398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1265" TargetMode="External"/><Relationship Id="rId24" Type="http://schemas.openxmlformats.org/officeDocument/2006/relationships/hyperlink" Target="https://cbd.minjust.gov.kg/302284" TargetMode="External"/><Relationship Id="rId32" Type="http://schemas.openxmlformats.org/officeDocument/2006/relationships/hyperlink" Target="https://cbd.minjust.gov.kg/301176" TargetMode="External"/><Relationship Id="rId5" Type="http://schemas.openxmlformats.org/officeDocument/2006/relationships/hyperlink" Target="https://cbd.minjust.gov.kg/303039" TargetMode="External"/><Relationship Id="rId15" Type="http://schemas.openxmlformats.org/officeDocument/2006/relationships/hyperlink" Target="https://cbd.minjust.gov.kg/302288" TargetMode="External"/><Relationship Id="rId23" Type="http://schemas.openxmlformats.org/officeDocument/2006/relationships/hyperlink" Target="https://cbd.minjust.gov.kg/302284" TargetMode="External"/><Relationship Id="rId28" Type="http://schemas.openxmlformats.org/officeDocument/2006/relationships/hyperlink" Target="https://cbd.minjust.gov.kg/302288" TargetMode="External"/><Relationship Id="rId10" Type="http://schemas.openxmlformats.org/officeDocument/2006/relationships/hyperlink" Target="https://cbd.minjust.gov.kg/303039" TargetMode="External"/><Relationship Id="rId19" Type="http://schemas.openxmlformats.org/officeDocument/2006/relationships/hyperlink" Target="https://cbd.minjust.gov.kg/30770" TargetMode="External"/><Relationship Id="rId31" Type="http://schemas.openxmlformats.org/officeDocument/2006/relationships/hyperlink" Target="toktom://db/91397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770" TargetMode="External"/><Relationship Id="rId14" Type="http://schemas.openxmlformats.org/officeDocument/2006/relationships/hyperlink" Target="https://cbd.minjust.gov.kg/301177" TargetMode="External"/><Relationship Id="rId22" Type="http://schemas.openxmlformats.org/officeDocument/2006/relationships/hyperlink" Target="https://cbd.minjust.gov.kg/301265" TargetMode="External"/><Relationship Id="rId27" Type="http://schemas.openxmlformats.org/officeDocument/2006/relationships/hyperlink" Target="https://cbd.minjust.gov.kg/301177" TargetMode="External"/><Relationship Id="rId30" Type="http://schemas.openxmlformats.org/officeDocument/2006/relationships/hyperlink" Target="https://cbd.minjust.gov.kg/3011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1030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