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6009CFC8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A86590" w14:textId="77777777" w:rsidR="00093C7A" w:rsidRDefault="00093C7A">
            <w:pPr>
              <w:spacing w:after="60" w:line="276" w:lineRule="auto"/>
              <w:ind w:firstLine="0"/>
              <w:jc w:val="center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4D2B49" w14:textId="77777777" w:rsidR="00093C7A" w:rsidRDefault="00093C7A">
            <w:pPr>
              <w:spacing w:after="60" w:line="276" w:lineRule="auto"/>
              <w:ind w:firstLine="0"/>
              <w:jc w:val="center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8297E3" w14:textId="77777777" w:rsidR="00093C7A" w:rsidRDefault="00093C7A">
            <w:pPr>
              <w:spacing w:after="60" w:line="276" w:lineRule="auto"/>
              <w:ind w:firstLine="0"/>
              <w:jc w:val="center"/>
            </w:pPr>
            <w:r>
              <w:t>Приложение</w:t>
            </w:r>
            <w:r>
              <w:br/>
              <w:t xml:space="preserve">к </w:t>
            </w:r>
            <w:hyperlink r:id="rId4" w:history="1">
              <w:r>
                <w:rPr>
                  <w:rStyle w:val="a3"/>
                </w:rPr>
                <w:t>постановлению</w:t>
              </w:r>
            </w:hyperlink>
            <w:r>
              <w:t xml:space="preserve"> Правления Национального банка Кыргызской Республики</w:t>
            </w:r>
            <w:r>
              <w:br/>
              <w:t>от 16 августа 2017 года № 2017-П-14/34-2-(НПА)</w:t>
            </w:r>
          </w:p>
        </w:tc>
      </w:tr>
    </w:tbl>
    <w:p w14:paraId="73751035" w14:textId="77777777" w:rsidR="00093C7A" w:rsidRDefault="00093C7A">
      <w:pPr>
        <w:spacing w:before="400" w:after="400" w:line="276" w:lineRule="auto"/>
        <w:ind w:left="1134" w:right="1134" w:firstLine="0"/>
        <w:jc w:val="center"/>
      </w:pPr>
      <w:r>
        <w:rPr>
          <w:b/>
          <w:bCs/>
        </w:rPr>
        <w:t>ВРЕМЕННОЕ ПОЛОЖЕНИЕ</w:t>
      </w:r>
      <w:r>
        <w:rPr>
          <w:b/>
          <w:bCs/>
        </w:rPr>
        <w:br/>
        <w:t>о критериях для выбора расчетного агента для проекта интеграции Национальной системы расчетов платежными картами "Элкарт" с национальными/международными платежными системами других стран</w:t>
      </w:r>
    </w:p>
    <w:p w14:paraId="6CFBB850" w14:textId="77777777" w:rsidR="00093C7A" w:rsidRDefault="00093C7A">
      <w:pPr>
        <w:spacing w:after="200" w:line="276" w:lineRule="auto"/>
        <w:ind w:left="1134" w:right="1134" w:firstLine="0"/>
        <w:jc w:val="center"/>
      </w:pPr>
      <w:r>
        <w:rPr>
          <w:i/>
          <w:iCs/>
        </w:rPr>
        <w:t xml:space="preserve">(В редакции постановления Правления Нацбанка КР от </w:t>
      </w:r>
      <w:hyperlink r:id="rId5" w:history="1">
        <w:r>
          <w:rPr>
            <w:rStyle w:val="a3"/>
            <w:i/>
            <w:iCs/>
          </w:rPr>
          <w:t>26 февраля 2018 года № 2018-П-14/6-3</w:t>
        </w:r>
      </w:hyperlink>
      <w:r>
        <w:rPr>
          <w:i/>
          <w:iCs/>
        </w:rPr>
        <w:t>)</w:t>
      </w:r>
    </w:p>
    <w:p w14:paraId="0FDAC708" w14:textId="77777777" w:rsidR="00093C7A" w:rsidRDefault="00093C7A">
      <w:pPr>
        <w:spacing w:before="200" w:after="200" w:line="276" w:lineRule="auto"/>
        <w:ind w:left="1134" w:right="1134" w:firstLine="0"/>
        <w:jc w:val="center"/>
      </w:pPr>
      <w:bookmarkStart w:id="0" w:name="g1"/>
      <w:bookmarkEnd w:id="0"/>
      <w:r>
        <w:rPr>
          <w:b/>
          <w:bCs/>
        </w:rPr>
        <w:t>Глава 1. Общие положения</w:t>
      </w:r>
    </w:p>
    <w:p w14:paraId="57123C05" w14:textId="77777777" w:rsidR="00093C7A" w:rsidRDefault="00093C7A">
      <w:pPr>
        <w:spacing w:after="60" w:line="276" w:lineRule="auto"/>
        <w:ind w:firstLine="567"/>
      </w:pPr>
      <w:r>
        <w:t>1. Настоящее Временное Положение определяет критерии для выбора расчетного агента для проекта интеграции национальной системы расчетов платежными картами "Элкарт" (далее - система "Элкарт") с национальными/международными платежными системами других стран (далее - проект интеграции).</w:t>
      </w:r>
    </w:p>
    <w:p w14:paraId="71957BE8" w14:textId="77777777" w:rsidR="00093C7A" w:rsidRDefault="00093C7A">
      <w:pPr>
        <w:spacing w:after="60" w:line="276" w:lineRule="auto"/>
        <w:ind w:firstLine="567"/>
      </w:pPr>
      <w:r>
        <w:t>2. Целью проекта интеграции является выход на международный рынок платежных услуг и расширение сети обслуживания системы "Элкарт", а также прием карт национальных/международных платежных систем других стран в инфраструктуре системы "Элкарт" и обеспечение взаиморасчетов по ним.</w:t>
      </w:r>
    </w:p>
    <w:p w14:paraId="0EBF694C" w14:textId="77777777" w:rsidR="00093C7A" w:rsidRDefault="00093C7A">
      <w:pPr>
        <w:spacing w:after="60" w:line="276" w:lineRule="auto"/>
        <w:ind w:firstLine="567"/>
      </w:pPr>
      <w:r>
        <w:t>3. Расчетный агент в рамках соглашения по проекту интеграции обеспечивает своевременные взаиморасчеты в любых валютах с расчетным агентом оператора национальных/международных платежных систем других стран.</w:t>
      </w:r>
    </w:p>
    <w:p w14:paraId="60373F61" w14:textId="77777777" w:rsidR="00093C7A" w:rsidRDefault="00093C7A">
      <w:pPr>
        <w:spacing w:after="60" w:line="276" w:lineRule="auto"/>
        <w:ind w:firstLine="567"/>
      </w:pPr>
      <w:r>
        <w:t>4. Решение о выборе расчетного агента в рамках проекта интеграции принимает Национальный банк Кыргызской Республики (далее - Национальный банк) в соответствии с Политикой по надзору (оверсайту) за платежной системой Кыргызской Республики, Основными направлениями развития платежной системы Кыргызской Республики на 2015-2017 годы, Положением о Гроссовой системе расчетов в режиме реального времени в Кыргызской Республике.</w:t>
      </w:r>
    </w:p>
    <w:p w14:paraId="428763F9" w14:textId="77777777" w:rsidR="00093C7A" w:rsidRDefault="00093C7A">
      <w:pPr>
        <w:spacing w:before="200" w:after="200" w:line="276" w:lineRule="auto"/>
        <w:ind w:left="1134" w:right="1134" w:firstLine="0"/>
        <w:jc w:val="center"/>
      </w:pPr>
      <w:bookmarkStart w:id="1" w:name="g2"/>
      <w:bookmarkEnd w:id="1"/>
      <w:r>
        <w:rPr>
          <w:b/>
          <w:bCs/>
        </w:rPr>
        <w:t>Глава 2. Критерии для выбора расчетного агента</w:t>
      </w:r>
    </w:p>
    <w:p w14:paraId="5F132B56" w14:textId="77777777" w:rsidR="00093C7A" w:rsidRDefault="00093C7A">
      <w:pPr>
        <w:spacing w:after="60" w:line="276" w:lineRule="auto"/>
        <w:ind w:firstLine="567"/>
      </w:pPr>
      <w:r>
        <w:t>1. Расчетным агентом может быть коммерческий банк, имеющий лицензию Национального банка на право проведения банковских операций по осуществлению расчетов и платежей по поручению клиентов и банков-корреспондентов и их кассовому обслуживанию, а также выпуску, покупке, оплате, принятию, хранению и подтверждению платежных документов (чеки, аккредитивы, векселя и другие документы), включая кредитные и платежные карточки, и соответствующий следующим критериям:</w:t>
      </w:r>
    </w:p>
    <w:p w14:paraId="7D7260F3" w14:textId="77777777" w:rsidR="00093C7A" w:rsidRDefault="00093C7A">
      <w:pPr>
        <w:spacing w:after="60" w:line="276" w:lineRule="auto"/>
        <w:ind w:firstLine="567"/>
      </w:pPr>
      <w:r>
        <w:t>1) осуществляет банковскую деятельность на рынке Кыргызской Республики не менее 5-ти лет;</w:t>
      </w:r>
    </w:p>
    <w:p w14:paraId="27FE3AE5" w14:textId="77777777" w:rsidR="00093C7A" w:rsidRDefault="00093C7A">
      <w:pPr>
        <w:spacing w:after="60" w:line="276" w:lineRule="auto"/>
        <w:ind w:firstLine="567"/>
      </w:pPr>
      <w:r>
        <w:t>2) имеет рейтинг не ниже 2 по рейтинговой системе CAMELS и/или не ниже рейтинга 2 по рейтинговой системе риск-ориентированного надзора, присваиваемого Национальным банком в соответствии с нормативными правовыми актами Национального банка;</w:t>
      </w:r>
    </w:p>
    <w:p w14:paraId="5F263D54" w14:textId="77777777" w:rsidR="00093C7A" w:rsidRDefault="00093C7A">
      <w:pPr>
        <w:spacing w:after="60" w:line="276" w:lineRule="auto"/>
        <w:ind w:firstLine="567"/>
      </w:pPr>
      <w:r>
        <w:t>3) в течение последних 12-ти месяцев не фиксировалось нарушений экономических нормативов Национального банка, включая обязательные резервные требования;</w:t>
      </w:r>
    </w:p>
    <w:p w14:paraId="590BAD0F" w14:textId="77777777" w:rsidR="00093C7A" w:rsidRDefault="00093C7A">
      <w:pPr>
        <w:spacing w:after="60" w:line="276" w:lineRule="auto"/>
        <w:ind w:firstLine="567"/>
      </w:pPr>
      <w:r>
        <w:t>4) в течение последних 3-х лет к нему не применялись меры воздействия со стороны Национального банка в виде введения специального режима;</w:t>
      </w:r>
    </w:p>
    <w:p w14:paraId="2FFB07B8" w14:textId="77777777" w:rsidR="00093C7A" w:rsidRDefault="00093C7A">
      <w:pPr>
        <w:spacing w:after="60" w:line="276" w:lineRule="auto"/>
        <w:ind w:firstLine="567"/>
      </w:pPr>
      <w:r>
        <w:t>5) является прямым участником системы "Элкарт";</w:t>
      </w:r>
    </w:p>
    <w:p w14:paraId="4C63ED91" w14:textId="77777777" w:rsidR="00093C7A" w:rsidRDefault="00093C7A">
      <w:pPr>
        <w:spacing w:after="60" w:line="276" w:lineRule="auto"/>
        <w:ind w:firstLine="567"/>
      </w:pPr>
      <w:r>
        <w:t>6) является участником Автоматизированной торговой системы Национального банка;</w:t>
      </w:r>
    </w:p>
    <w:p w14:paraId="309DB7B5" w14:textId="77777777" w:rsidR="00093C7A" w:rsidRDefault="00093C7A">
      <w:pPr>
        <w:spacing w:after="60" w:line="276" w:lineRule="auto"/>
        <w:ind w:firstLine="567"/>
      </w:pPr>
      <w:r>
        <w:t>7) имеет действующие корреспондентские отношения с расчетным агентом оператора иностранной платежной системы (преимущество).</w:t>
      </w:r>
    </w:p>
    <w:p w14:paraId="2D9D610A" w14:textId="77777777" w:rsidR="00093C7A" w:rsidRDefault="00093C7A">
      <w:pPr>
        <w:spacing w:before="200" w:after="200" w:line="276" w:lineRule="auto"/>
        <w:ind w:left="1134" w:right="1134" w:firstLine="0"/>
        <w:jc w:val="center"/>
      </w:pPr>
      <w:bookmarkStart w:id="2" w:name="g3"/>
      <w:bookmarkEnd w:id="2"/>
      <w:r>
        <w:rPr>
          <w:b/>
          <w:bCs/>
        </w:rPr>
        <w:t>Глава 3. Функции расчетного агента</w:t>
      </w:r>
    </w:p>
    <w:p w14:paraId="09A07EA6" w14:textId="77777777" w:rsidR="00093C7A" w:rsidRDefault="00093C7A">
      <w:pPr>
        <w:spacing w:after="60" w:line="276" w:lineRule="auto"/>
        <w:ind w:firstLine="567"/>
      </w:pPr>
      <w:r>
        <w:t>1. Расчетный агент выполняет следующие функции:</w:t>
      </w:r>
    </w:p>
    <w:p w14:paraId="6D275AC1" w14:textId="77777777" w:rsidR="00093C7A" w:rsidRDefault="00093C7A">
      <w:pPr>
        <w:spacing w:after="60" w:line="276" w:lineRule="auto"/>
        <w:ind w:firstLine="567"/>
      </w:pPr>
      <w:r>
        <w:t>1) устанавливает и самостоятельно ведет корреспондентские отношения с расчетным агентом национальной/международной платежной системы другой страны, интегрированной с системой "Элкарт";</w:t>
      </w:r>
    </w:p>
    <w:p w14:paraId="19D17DA6" w14:textId="77777777" w:rsidR="00093C7A" w:rsidRDefault="00093C7A">
      <w:pPr>
        <w:spacing w:after="60" w:line="276" w:lineRule="auto"/>
        <w:ind w:firstLine="567"/>
      </w:pPr>
      <w:r>
        <w:t>2) заключает соответствующее соглашение с оператором национальной системы "Элкарт";</w:t>
      </w:r>
    </w:p>
    <w:p w14:paraId="14CE1390" w14:textId="77777777" w:rsidR="00093C7A" w:rsidRDefault="00093C7A">
      <w:pPr>
        <w:spacing w:after="60" w:line="276" w:lineRule="auto"/>
        <w:ind w:firstLine="567"/>
      </w:pPr>
      <w:r>
        <w:t>3) по поручению оператора национальной системы "Элкарт" обеспечивает своевременный перевод денежных средств в любой валюте расчетному агенту национальной/международной платежной системы другой страны по операциям карт "Элкарт" в инфраструктуре национальных/международных платежных систем других стран, и получает по переведенным средствам возмещение в эквиваленте в национальной валюте через Гроссовую систему расчетов в режиме реального времени (далее - ГСРРВ);</w:t>
      </w:r>
    </w:p>
    <w:p w14:paraId="40D12F03" w14:textId="77777777" w:rsidR="00093C7A" w:rsidRDefault="00093C7A">
      <w:pPr>
        <w:spacing w:after="60" w:line="276" w:lineRule="auto"/>
        <w:ind w:firstLine="567"/>
      </w:pPr>
      <w:r>
        <w:t>4) получает от расчетного агента национальной/международной платежной системы другой страны денежные средства по операциям карт данной системы в инфраструктуре системы "Элкарт" и обеспечивает своевременное зачисление соответствующих сумм на корреспондентские счета участников системы "Элкарт" в Национальном банке через ГСРРВ.</w:t>
      </w:r>
    </w:p>
    <w:p w14:paraId="34056CAB" w14:textId="77777777" w:rsidR="00093C7A" w:rsidRDefault="00093C7A">
      <w:pPr>
        <w:spacing w:before="200" w:after="200" w:line="276" w:lineRule="auto"/>
        <w:ind w:left="1134" w:right="1134" w:firstLine="0"/>
        <w:jc w:val="center"/>
      </w:pPr>
      <w:bookmarkStart w:id="3" w:name="g4"/>
      <w:bookmarkEnd w:id="3"/>
      <w:r>
        <w:rPr>
          <w:b/>
          <w:bCs/>
        </w:rPr>
        <w:t>Глава 4. Обязательство расчетного агента</w:t>
      </w:r>
    </w:p>
    <w:p w14:paraId="4F26A926" w14:textId="77777777" w:rsidR="00093C7A" w:rsidRDefault="00093C7A">
      <w:pPr>
        <w:spacing w:after="60" w:line="276" w:lineRule="auto"/>
        <w:ind w:firstLine="567"/>
      </w:pPr>
      <w:r>
        <w:t>1. Расчетный агент в рамках проекта интеграции обязан:</w:t>
      </w:r>
    </w:p>
    <w:p w14:paraId="1933E628" w14:textId="77777777" w:rsidR="00093C7A" w:rsidRDefault="00093C7A">
      <w:pPr>
        <w:spacing w:after="60" w:line="276" w:lineRule="auto"/>
        <w:ind w:firstLine="567"/>
      </w:pPr>
      <w:r>
        <w:t>1) соответствовать критериям, установленным в Главе 2 настоящего Временного Положения, для выбора расчетного агента, а также обеспечивать соблюдение всех взятых на себя обязательств;</w:t>
      </w:r>
    </w:p>
    <w:p w14:paraId="77114DB7" w14:textId="77777777" w:rsidR="00093C7A" w:rsidRDefault="00093C7A">
      <w:pPr>
        <w:spacing w:after="60" w:line="276" w:lineRule="auto"/>
        <w:ind w:firstLine="567"/>
      </w:pPr>
      <w:r>
        <w:t>2) не допускать нехватку ликвидности на корреспондентском счете в Национальном банке, а также задержку и очередь платежей согласно требованиям ГСРРВ;</w:t>
      </w:r>
    </w:p>
    <w:p w14:paraId="6DDF66BB" w14:textId="77777777" w:rsidR="00093C7A" w:rsidRDefault="00093C7A">
      <w:pPr>
        <w:spacing w:after="60" w:line="276" w:lineRule="auto"/>
        <w:ind w:firstLine="567"/>
      </w:pPr>
      <w:r>
        <w:t>3) иметь портфель государственных ценных бумаг и ценных бумаг Национального банка со сроком погашения не менее 3 (трех) месяцев (без учета заложенного портфеля), который должен составлять не меньше среднемесячного значения оборотов по национальной системе "Элкарт" (сумма оборотов за каждый день предыдущего месяца/количество дней в предыдущем месяце, когда были платежи);</w:t>
      </w:r>
    </w:p>
    <w:p w14:paraId="2E74FA83" w14:textId="77777777" w:rsidR="00093C7A" w:rsidRDefault="00093C7A">
      <w:pPr>
        <w:spacing w:after="60" w:line="276" w:lineRule="auto"/>
        <w:ind w:firstLine="567"/>
      </w:pPr>
      <w:r>
        <w:t>4) иметь действующий План по обеспечению непрерывности деятельности в части обеспечения бесперебойности расчетов;</w:t>
      </w:r>
    </w:p>
    <w:p w14:paraId="58BB40B1" w14:textId="77777777" w:rsidR="00093C7A" w:rsidRDefault="00093C7A">
      <w:pPr>
        <w:spacing w:after="60" w:line="276" w:lineRule="auto"/>
        <w:ind w:firstLine="567"/>
      </w:pPr>
      <w:r>
        <w:t>5) обеспечить основной и резервный канал передачи сообщений с расчетными банками платежных систем, интегрированными с национальной системой "Элкарт";</w:t>
      </w:r>
    </w:p>
    <w:p w14:paraId="22AD9C9F" w14:textId="77777777" w:rsidR="00093C7A" w:rsidRDefault="00093C7A">
      <w:pPr>
        <w:spacing w:after="60" w:line="276" w:lineRule="auto"/>
        <w:ind w:firstLine="567"/>
      </w:pPr>
      <w:r>
        <w:t>6) гарантировать своевременные взаиморасчеты с банками участниками системы "Элкарт", а также с расчетным агентом национальной/международной платежной системы другой страны, интегрированной с национальной системой "Элкарт";</w:t>
      </w:r>
    </w:p>
    <w:p w14:paraId="795E3CD3" w14:textId="77777777" w:rsidR="00093C7A" w:rsidRDefault="00093C7A">
      <w:pPr>
        <w:spacing w:after="60" w:line="276" w:lineRule="auto"/>
        <w:ind w:firstLine="567"/>
      </w:pPr>
      <w:r>
        <w:t>7) разработать и утвердить Методику расчета достаточной ликвидности, пошаговую Процедуру осуществления взаиморасчетов с расчетным агентом национальной/международной платежной системы другой страны, интегрированной с системой "Элкарт", и участниками системы "Элкарт";</w:t>
      </w:r>
    </w:p>
    <w:p w14:paraId="2F506C48" w14:textId="77777777" w:rsidR="00093C7A" w:rsidRDefault="00093C7A">
      <w:pPr>
        <w:spacing w:after="60" w:line="276" w:lineRule="auto"/>
        <w:ind w:firstLine="567"/>
      </w:pPr>
      <w:r>
        <w:t>8) проводить внешний аудит информационных систем банка не реже одного раза в два года. Расчетный агент должен проводить аудит информационной системы в соответствии с требованиями Положения о минимальных требованиях к внешнему аудиту банков и других небанковских финансово-кредитных организаций, лицензируемых Национальным банком Кыргызской Республики.</w:t>
      </w:r>
    </w:p>
    <w:p w14:paraId="3B56C2EC" w14:textId="77777777" w:rsidR="00093C7A" w:rsidRDefault="00093C7A">
      <w:pPr>
        <w:spacing w:after="60" w:line="276" w:lineRule="auto"/>
        <w:ind w:firstLine="567"/>
      </w:pPr>
      <w:r>
        <w:rPr>
          <w:i/>
          <w:iCs/>
        </w:rPr>
        <w:t xml:space="preserve">(В редакции постановления Правления Нацбанка КР от </w:t>
      </w:r>
      <w:hyperlink r:id="rId6" w:history="1">
        <w:r>
          <w:rPr>
            <w:rStyle w:val="a3"/>
            <w:i/>
            <w:iCs/>
          </w:rPr>
          <w:t>26 февраля 2018 года № 2018-П-14/6-3</w:t>
        </w:r>
      </w:hyperlink>
      <w:r>
        <w:rPr>
          <w:i/>
          <w:iCs/>
        </w:rPr>
        <w:t>)</w:t>
      </w:r>
    </w:p>
    <w:p w14:paraId="0A80BD7E" w14:textId="77777777" w:rsidR="00093C7A" w:rsidRDefault="00093C7A">
      <w:pPr>
        <w:spacing w:before="200" w:after="200" w:line="276" w:lineRule="auto"/>
        <w:ind w:left="1134" w:right="1134" w:firstLine="0"/>
        <w:jc w:val="center"/>
      </w:pPr>
      <w:bookmarkStart w:id="4" w:name="g5"/>
      <w:bookmarkEnd w:id="4"/>
      <w:r>
        <w:rPr>
          <w:b/>
          <w:bCs/>
        </w:rPr>
        <w:t>Глава 5. Заключительные положения</w:t>
      </w:r>
    </w:p>
    <w:p w14:paraId="07F23184" w14:textId="77777777" w:rsidR="00093C7A" w:rsidRDefault="00093C7A">
      <w:pPr>
        <w:spacing w:after="60" w:line="276" w:lineRule="auto"/>
        <w:ind w:firstLine="567"/>
      </w:pPr>
      <w:r>
        <w:t xml:space="preserve">1. В случае, если указанным критериям и обязательствам будут соответствовать несколько коммерческих банков, предпочтение будет отдано </w:t>
      </w:r>
      <w:r>
        <w:t>коммерческому банку, выполняющему требование по дополнительному запасу капитала банка (показатель "буфер капитала") и имеющему наибольший объем собственного капитала, более высокие показатели финансовой устойчивости и/или прошедшему аудиторскую проверку со стороны аудиторской компании, имеющей признанную международную репутацию.</w:t>
      </w:r>
    </w:p>
    <w:p w14:paraId="716244E8" w14:textId="77777777" w:rsidR="00093C7A" w:rsidRDefault="00093C7A">
      <w:pPr>
        <w:spacing w:after="60" w:line="276" w:lineRule="auto"/>
        <w:ind w:firstLine="567"/>
      </w:pPr>
      <w:r>
        <w:t>2. Национальный банк оставляет за собой право поменять расчетного агента в случае выявления, более чем 3 раза, несоответствия хотя бы одному из критериев, указанных в Главе 2 настоящего Временного Положения, несоблюдения обязательств и сроков взаиморасчетов, а также выявления жалоб со стороны участников системы "Элкарт", национальной/международной платежной системы другой страны, интегрированной с системой "Элкарт", и/или его расчетного агента.</w:t>
      </w:r>
    </w:p>
    <w:p w14:paraId="61FA5BB6" w14:textId="77777777" w:rsidR="00093C7A" w:rsidRDefault="00093C7A">
      <w:pPr>
        <w:spacing w:after="60" w:line="276" w:lineRule="auto"/>
        <w:ind w:firstLine="567"/>
      </w:pPr>
      <w:r>
        <w:t xml:space="preserve">3. Расчет среднего значения оборотов за месяц осуществляется ЗАО "Межбанковский процессинговый центр" 1 (один) раз в месяц на основании данных за предыдущий месяц и до 5 числа следующего за отчетным месяцем соответствующая информация направляется в Национальный банк и коммерческий банк для дальнейшего использования коммерческим банком - расчетным агентом в течение отчетного месяца для соблюдения требования, указанного в подпункте 3 пункта 1 </w:t>
      </w:r>
      <w:hyperlink r:id="rId7" w:anchor="g4" w:history="1">
        <w:r>
          <w:rPr>
            <w:rStyle w:val="a3"/>
            <w:color w:val="auto"/>
            <w:u w:val="none"/>
          </w:rPr>
          <w:t>Главы 4</w:t>
        </w:r>
      </w:hyperlink>
      <w:r>
        <w:t xml:space="preserve"> настоящего Временного положения.</w:t>
      </w:r>
    </w:p>
    <w:p w14:paraId="5C9D3074" w14:textId="77777777" w:rsidR="00093C7A" w:rsidRDefault="00093C7A">
      <w:pPr>
        <w:spacing w:after="60" w:line="276" w:lineRule="auto"/>
        <w:ind w:firstLine="567"/>
      </w:pPr>
      <w:r>
        <w:rPr>
          <w:i/>
          <w:iCs/>
        </w:rPr>
        <w:t xml:space="preserve">(В редакции постановления Правления Нацбанка КР от </w:t>
      </w:r>
      <w:hyperlink r:id="rId8" w:history="1">
        <w:r>
          <w:rPr>
            <w:rStyle w:val="a3"/>
            <w:i/>
            <w:iCs/>
          </w:rPr>
          <w:t>26 февраля 2018 года № 2018-П-14/6-3</w:t>
        </w:r>
      </w:hyperlink>
      <w:r>
        <w:rPr>
          <w:i/>
          <w:iCs/>
        </w:rPr>
        <w:t>)</w:t>
      </w:r>
    </w:p>
    <w:p w14:paraId="1558BC18" w14:textId="77777777" w:rsidR="00093C7A" w:rsidRDefault="00093C7A">
      <w:r>
        <w:t> </w:t>
      </w:r>
    </w:p>
    <w:p w14:paraId="0834920E" w14:textId="77777777" w:rsidR="00093C7A" w:rsidRDefault="00093C7A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C7A"/>
    <w:rsid w:val="00093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DF93F3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paragraph" w:customStyle="1" w:styleId="tkRedakcijaSpisok">
    <w:name w:val="_В редакции список (tkRedakcijaSpisok)"/>
    <w:basedOn w:val="a"/>
    <w:pPr>
      <w:spacing w:after="200" w:line="276" w:lineRule="auto"/>
      <w:ind w:left="1134" w:right="1134" w:firstLine="0"/>
      <w:jc w:val="center"/>
    </w:pPr>
    <w:rPr>
      <w:i/>
      <w:iCs/>
      <w:sz w:val="20"/>
      <w:szCs w:val="20"/>
    </w:rPr>
  </w:style>
  <w:style w:type="paragraph" w:customStyle="1" w:styleId="tkRedakcijaTekst">
    <w:name w:val="_В редакции текст (tkRedakcijaTekst)"/>
    <w:basedOn w:val="a"/>
    <w:pPr>
      <w:spacing w:after="60" w:line="276" w:lineRule="auto"/>
      <w:ind w:firstLine="567"/>
    </w:pPr>
    <w:rPr>
      <w:i/>
      <w:iCs/>
      <w:sz w:val="20"/>
      <w:szCs w:val="20"/>
    </w:rPr>
  </w:style>
  <w:style w:type="paragraph" w:customStyle="1" w:styleId="tkGrif">
    <w:name w:val="_Гриф (tkGrif)"/>
    <w:basedOn w:val="a"/>
    <w:pPr>
      <w:spacing w:after="60" w:line="276" w:lineRule="auto"/>
      <w:ind w:firstLine="0"/>
      <w:jc w:val="center"/>
    </w:pPr>
    <w:rPr>
      <w:sz w:val="20"/>
      <w:szCs w:val="20"/>
    </w:rPr>
  </w:style>
  <w:style w:type="paragraph" w:customStyle="1" w:styleId="tkZagolovok3">
    <w:name w:val="_Заголовок Глава (tkZagolovok3)"/>
    <w:basedOn w:val="a"/>
    <w:pPr>
      <w:spacing w:before="200" w:after="200" w:line="276" w:lineRule="auto"/>
      <w:ind w:left="1134" w:right="1134" w:firstLine="0"/>
      <w:jc w:val="center"/>
    </w:pPr>
    <w:rPr>
      <w:b/>
      <w:bCs/>
    </w:rPr>
  </w:style>
  <w:style w:type="paragraph" w:customStyle="1" w:styleId="tkNazvanie">
    <w:name w:val="_Название (tkNazvanie)"/>
    <w:basedOn w:val="a"/>
    <w:pPr>
      <w:spacing w:before="400" w:after="400" w:line="276" w:lineRule="auto"/>
      <w:ind w:left="1134" w:right="1134" w:firstLine="0"/>
      <w:jc w:val="center"/>
    </w:pPr>
    <w:rPr>
      <w:b/>
      <w:bCs/>
    </w:rPr>
  </w:style>
  <w:style w:type="paragraph" w:customStyle="1" w:styleId="tkTekst">
    <w:name w:val="_Текст обычный (tkTekst)"/>
    <w:basedOn w:val="a"/>
    <w:pPr>
      <w:spacing w:after="60" w:line="276" w:lineRule="auto"/>
      <w:ind w:firstLine="567"/>
    </w:pPr>
    <w:rPr>
      <w:sz w:val="20"/>
      <w:szCs w:val="20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80005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../../TOKTOM/b41651f5-07e1-4313-85c6-053d8a62de16/document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800059" TargetMode="External"/><Relationship Id="rId5" Type="http://schemas.openxmlformats.org/officeDocument/2006/relationships/hyperlink" Target="https://cbd.minjust.gov.kg/800059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cbd.minjust.gov.kg/800060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1189</Words>
  <Characters>6781</Characters>
  <Application>Microsoft Office Word</Application>
  <DocSecurity>0</DocSecurity>
  <Lines>56</Lines>
  <Paragraphs>15</Paragraphs>
  <ScaleCrop>false</ScaleCrop>
  <Company/>
  <LinksUpToDate>false</LinksUpToDate>
  <CharactersWithSpaces>7955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2023-12-15T21:33:00Z</dcterms:created>
  <dcterms:modified xsi:type="dcterms:W3CDTF">2023-12-15T21:33:00Z</dcterms:modified>
</cp:coreProperties>
</file>