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5B581" w14:textId="77777777" w:rsidR="00C70EC5" w:rsidRDefault="00C70EC5">
      <w:pPr>
        <w:pStyle w:val="ad"/>
      </w:pPr>
      <w:r>
        <w:rPr>
          <w:noProof/>
        </w:rPr>
        <w:drawing>
          <wp:inline distT="0" distB="0" distL="0" distR="0" wp14:anchorId="50061102" wp14:editId="13C75152">
            <wp:extent cx="1152525" cy="1152525"/>
            <wp:effectExtent l="0" t="0" r="9525" b="9525"/>
            <wp:docPr id="1" name="Рисунок 1" descr="Описание: 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0880FEB1" w14:textId="77777777" w:rsidR="00C70EC5" w:rsidRDefault="00C70EC5">
      <w:pPr>
        <w:pStyle w:val="a9"/>
      </w:pPr>
      <w:r>
        <w:rPr>
          <w:sz w:val="32"/>
          <w:szCs w:val="32"/>
        </w:rPr>
        <w:t>НАЦИОНАЛЬНЫЙ БАНК КЫРГЫЗСКОЙ РЕПУБЛИКИ </w:t>
      </w:r>
    </w:p>
    <w:p w14:paraId="57B78432" w14:textId="77777777" w:rsidR="00C70EC5" w:rsidRDefault="00C70EC5">
      <w:pPr>
        <w:pStyle w:val="a9"/>
      </w:pPr>
      <w:r>
        <w:rPr>
          <w:sz w:val="32"/>
          <w:szCs w:val="32"/>
        </w:rPr>
        <w:t>ПОСТАНОВЛЕНИЕ</w:t>
      </w:r>
    </w:p>
    <w:p w14:paraId="36575F56" w14:textId="77777777" w:rsidR="00C70EC5" w:rsidRDefault="00C70EC5">
      <w:pPr>
        <w:pStyle w:val="af8"/>
      </w:pPr>
      <w:r>
        <w:t>от 13 сентября 2018 года №2018-П-14/37-3-(ПС)</w:t>
      </w:r>
    </w:p>
    <w:p w14:paraId="50F132AB" w14:textId="77777777" w:rsidR="00C70EC5" w:rsidRDefault="00C70EC5">
      <w:r>
        <w:t> </w:t>
      </w:r>
    </w:p>
    <w:p w14:paraId="5031AE73" w14:textId="77777777" w:rsidR="00C70EC5" w:rsidRDefault="00C70EC5">
      <w:pPr>
        <w:pStyle w:val="1"/>
        <w:rPr>
          <w:rFonts w:eastAsia="Times New Roman"/>
        </w:rPr>
      </w:pPr>
      <w:r>
        <w:rPr>
          <w:rFonts w:eastAsia="Times New Roman"/>
        </w:rPr>
        <w:t>О внесении изменений и дополнений в постановление Правления Национального банка Кыргызской Республики «Об утверждении «Правил осуществления денежных переводов по системам денежных переводов в Кыргызской Республике» от 15 июля 2009 года № 30/6</w:t>
      </w:r>
    </w:p>
    <w:p w14:paraId="1CFE53F0" w14:textId="77777777" w:rsidR="00C70EC5" w:rsidRDefault="00C70EC5">
      <w:pPr>
        <w:pStyle w:val="1"/>
        <w:rPr>
          <w:rFonts w:eastAsia="Times New Roman"/>
        </w:rPr>
      </w:pPr>
      <w:r>
        <w:rPr>
          <w:rFonts w:eastAsia="Times New Roman"/>
        </w:rPr>
        <w:t> </w:t>
      </w:r>
    </w:p>
    <w:p w14:paraId="63E6CFB7" w14:textId="77777777" w:rsidR="00C70EC5" w:rsidRDefault="00C70EC5">
      <w:r>
        <w:t xml:space="preserve">В соответствии со статьями 20 и 68 </w:t>
      </w:r>
      <w:hyperlink r:id="rId5" w:history="1">
        <w:r>
          <w:rPr>
            <w:rStyle w:val="a3"/>
          </w:rPr>
          <w:t>Закона</w:t>
        </w:r>
      </w:hyperlink>
      <w: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14:paraId="28BB7BCB" w14:textId="77777777" w:rsidR="00C70EC5" w:rsidRDefault="00C70EC5">
      <w:pPr>
        <w:jc w:val="center"/>
      </w:pPr>
      <w:r>
        <w:t>ПОСТАНОВЛЯЕТ:</w:t>
      </w:r>
    </w:p>
    <w:p w14:paraId="3B88EC32" w14:textId="77777777" w:rsidR="00C70EC5" w:rsidRDefault="00C70EC5">
      <w:pPr>
        <w:pStyle w:val="af4"/>
        <w:ind w:left="1117" w:hanging="360"/>
      </w:pPr>
      <w:r>
        <w:rPr>
          <w:rFonts w:ascii="1.1." w:hAnsi="1.1."/>
        </w:rPr>
        <w:t>1.</w:t>
      </w:r>
      <w:r>
        <w:rPr>
          <w:rFonts w:ascii="Times New Roman" w:hAnsi="Times New Roman" w:cs="Times New Roman"/>
          <w:sz w:val="14"/>
          <w:szCs w:val="14"/>
        </w:rPr>
        <w:t xml:space="preserve">      </w:t>
      </w:r>
      <w:r>
        <w:t xml:space="preserve">Внести </w:t>
      </w:r>
      <w:hyperlink r:id="rId6" w:anchor="p1" w:history="1">
        <w:r>
          <w:rPr>
            <w:rStyle w:val="a3"/>
          </w:rPr>
          <w:t>изменения и дополнения</w:t>
        </w:r>
      </w:hyperlink>
      <w:r>
        <w:t xml:space="preserve"> в </w:t>
      </w:r>
      <w:hyperlink r:id="rId7" w:history="1">
        <w:r>
          <w:rPr>
            <w:rStyle w:val="a3"/>
          </w:rPr>
          <w:t>постановление</w:t>
        </w:r>
      </w:hyperlink>
      <w:r>
        <w:t xml:space="preserve"> Правления Национального банка Кыргызской Республики «Об утверждении </w:t>
      </w:r>
      <w:hyperlink r:id="rId8" w:history="1">
        <w:r>
          <w:rPr>
            <w:rStyle w:val="a3"/>
          </w:rPr>
          <w:t>Правил</w:t>
        </w:r>
      </w:hyperlink>
      <w:r>
        <w:t xml:space="preserve"> осуществления денежных переводов по системам денежных переводов в Кыргызской Республике» от 15 июля 2009 года №30/6 (прилагаются).</w:t>
      </w:r>
    </w:p>
    <w:p w14:paraId="0ED9FEA7" w14:textId="77777777" w:rsidR="00C70EC5" w:rsidRDefault="00C70EC5">
      <w:pPr>
        <w:pStyle w:val="af4"/>
        <w:ind w:left="1117" w:hanging="360"/>
      </w:pPr>
      <w:r>
        <w:rPr>
          <w:rFonts w:ascii="1.1." w:hAnsi="1.1."/>
        </w:rPr>
        <w:t>2.</w:t>
      </w:r>
      <w:r>
        <w:rPr>
          <w:rFonts w:ascii="Times New Roman" w:hAnsi="Times New Roman" w:cs="Times New Roman"/>
          <w:sz w:val="14"/>
          <w:szCs w:val="14"/>
        </w:rPr>
        <w:t xml:space="preserve">      </w:t>
      </w:r>
      <w:r>
        <w:t>Юридическому управлению:</w:t>
      </w:r>
    </w:p>
    <w:p w14:paraId="5C0B00E4"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опубликовать настоящее постановление на официальном интернет-сайте Национального банка Кыргызской Республики;</w:t>
      </w:r>
    </w:p>
    <w:p w14:paraId="2D2E1BD2"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14:paraId="5CEE1DD4" w14:textId="77777777" w:rsidR="00C70EC5" w:rsidRDefault="00C70EC5">
      <w:pPr>
        <w:pStyle w:val="af4"/>
        <w:ind w:left="1117" w:hanging="360"/>
      </w:pPr>
      <w:r>
        <w:rPr>
          <w:rFonts w:ascii="1.1." w:hAnsi="1.1."/>
        </w:rPr>
        <w:t>3.</w:t>
      </w:r>
      <w:r>
        <w:rPr>
          <w:rFonts w:ascii="Times New Roman" w:hAnsi="Times New Roman" w:cs="Times New Roman"/>
          <w:sz w:val="14"/>
          <w:szCs w:val="14"/>
        </w:rPr>
        <w:t xml:space="preserve">      </w:t>
      </w:r>
      <w:r>
        <w:t>Настоящее постановление вступает в силу по истечении пятнадцати дней со дня официального опубликования.</w:t>
      </w:r>
    </w:p>
    <w:p w14:paraId="35FB465A" w14:textId="77777777" w:rsidR="00C70EC5" w:rsidRDefault="00C70EC5">
      <w:pPr>
        <w:pStyle w:val="af4"/>
        <w:ind w:left="1117" w:hanging="360"/>
      </w:pPr>
      <w:r>
        <w:rPr>
          <w:rFonts w:ascii="1.1." w:hAnsi="1.1."/>
        </w:rPr>
        <w:t>4.</w:t>
      </w:r>
      <w:r>
        <w:rPr>
          <w:rFonts w:ascii="Times New Roman" w:hAnsi="Times New Roman" w:cs="Times New Roman"/>
          <w:sz w:val="14"/>
          <w:szCs w:val="14"/>
        </w:rPr>
        <w:t xml:space="preserve">      </w:t>
      </w:r>
      <w:r>
        <w:t>Коммерческим банкам и операторам систем денежных переводов исполнить требования пункта 3.7. Правил осуществления денежных переводов по системам денежных переводов в Кыргызской Республике в срок до 1 декабря 2018 года.</w:t>
      </w:r>
    </w:p>
    <w:p w14:paraId="03C6B999" w14:textId="77777777" w:rsidR="00C70EC5" w:rsidRDefault="00C70EC5">
      <w:pPr>
        <w:pStyle w:val="af4"/>
        <w:ind w:left="1117" w:hanging="360"/>
      </w:pPr>
      <w:r>
        <w:rPr>
          <w:rFonts w:ascii="1.1." w:hAnsi="1.1."/>
        </w:rPr>
        <w:t>5.</w:t>
      </w:r>
      <w:r>
        <w:rPr>
          <w:rFonts w:ascii="Times New Roman" w:hAnsi="Times New Roman" w:cs="Times New Roman"/>
          <w:sz w:val="14"/>
          <w:szCs w:val="14"/>
        </w:rPr>
        <w:t xml:space="preserve">      </w:t>
      </w:r>
      <w:r>
        <w:t>Управлению платежных систем довести настоящее постановление до сведения коммерческих банков Кыргызской Республики и операторов систем денежных переводов.</w:t>
      </w:r>
    </w:p>
    <w:p w14:paraId="79CAE052" w14:textId="77777777" w:rsidR="00C70EC5" w:rsidRDefault="00C70EC5">
      <w:pPr>
        <w:pStyle w:val="af4"/>
        <w:ind w:left="1117" w:hanging="360"/>
      </w:pPr>
      <w:r>
        <w:rPr>
          <w:rFonts w:ascii="1.1." w:hAnsi="1.1."/>
        </w:rPr>
        <w:t>6.</w:t>
      </w:r>
      <w:r>
        <w:rPr>
          <w:rFonts w:ascii="Times New Roman" w:hAnsi="Times New Roman" w:cs="Times New Roman"/>
          <w:sz w:val="14"/>
          <w:szCs w:val="14"/>
        </w:rPr>
        <w:t xml:space="preserve">      </w:t>
      </w:r>
      <w:r>
        <w:t>Контроль исполнения настоящего постановления возложить на заместителя председателя Национального банка Кыргызской Республики Момункулову М.А.</w:t>
      </w:r>
    </w:p>
    <w:p w14:paraId="770C9D66" w14:textId="77777777" w:rsidR="00C70EC5" w:rsidRDefault="00C70EC5">
      <w:r>
        <w:t> </w:t>
      </w:r>
    </w:p>
    <w:tbl>
      <w:tblPr>
        <w:tblW w:w="5000" w:type="pct"/>
        <w:jc w:val="center"/>
        <w:tblCellMar>
          <w:left w:w="0" w:type="dxa"/>
          <w:right w:w="0" w:type="dxa"/>
        </w:tblCellMar>
        <w:tblLook w:val="04A0" w:firstRow="1" w:lastRow="0" w:firstColumn="1" w:lastColumn="0" w:noHBand="0" w:noVBand="1"/>
      </w:tblPr>
      <w:tblGrid>
        <w:gridCol w:w="4682"/>
        <w:gridCol w:w="4673"/>
      </w:tblGrid>
      <w:tr w:rsidR="00000000" w14:paraId="56C9A542" w14:textId="77777777">
        <w:trPr>
          <w:jc w:val="center"/>
        </w:trPr>
        <w:tc>
          <w:tcPr>
            <w:tcW w:w="4742" w:type="dxa"/>
            <w:tcMar>
              <w:top w:w="0" w:type="dxa"/>
              <w:left w:w="108" w:type="dxa"/>
              <w:bottom w:w="0" w:type="dxa"/>
              <w:right w:w="108" w:type="dxa"/>
            </w:tcMar>
            <w:hideMark/>
          </w:tcPr>
          <w:p w14:paraId="39FF5CBF" w14:textId="77777777" w:rsidR="00C70EC5" w:rsidRDefault="00C70EC5">
            <w:pPr>
              <w:ind w:firstLine="0"/>
            </w:pPr>
            <w:r>
              <w:rPr>
                <w:b/>
                <w:bCs/>
                <w:sz w:val="28"/>
                <w:szCs w:val="28"/>
              </w:rPr>
              <w:t>Председатель</w:t>
            </w:r>
          </w:p>
        </w:tc>
        <w:tc>
          <w:tcPr>
            <w:tcW w:w="4743" w:type="dxa"/>
            <w:tcMar>
              <w:top w:w="0" w:type="dxa"/>
              <w:left w:w="108" w:type="dxa"/>
              <w:bottom w:w="0" w:type="dxa"/>
              <w:right w:w="108" w:type="dxa"/>
            </w:tcMar>
            <w:hideMark/>
          </w:tcPr>
          <w:p w14:paraId="1495ED9F" w14:textId="77777777" w:rsidR="00C70EC5" w:rsidRDefault="00C70EC5">
            <w:pPr>
              <w:ind w:firstLine="0"/>
              <w:jc w:val="right"/>
            </w:pPr>
            <w:r>
              <w:rPr>
                <w:b/>
                <w:bCs/>
                <w:sz w:val="28"/>
                <w:szCs w:val="28"/>
              </w:rPr>
              <w:t>Т. Абдыгулов</w:t>
            </w:r>
          </w:p>
        </w:tc>
      </w:tr>
    </w:tbl>
    <w:p w14:paraId="10D5AD2C" w14:textId="77777777" w:rsidR="00C70EC5" w:rsidRDefault="00C70EC5">
      <w:pPr>
        <w:ind w:firstLine="0"/>
      </w:pPr>
      <w:r>
        <w:t> </w:t>
      </w:r>
    </w:p>
    <w:tbl>
      <w:tblPr>
        <w:tblW w:w="5000" w:type="pct"/>
        <w:jc w:val="center"/>
        <w:tblCellMar>
          <w:left w:w="0" w:type="dxa"/>
          <w:right w:w="0" w:type="dxa"/>
        </w:tblCellMar>
        <w:tblLook w:val="04A0" w:firstRow="1" w:lastRow="0" w:firstColumn="1" w:lastColumn="0" w:noHBand="0" w:noVBand="1"/>
      </w:tblPr>
      <w:tblGrid>
        <w:gridCol w:w="4884"/>
        <w:gridCol w:w="4471"/>
      </w:tblGrid>
      <w:tr w:rsidR="00000000" w14:paraId="2131FE9D" w14:textId="77777777">
        <w:trPr>
          <w:jc w:val="center"/>
        </w:trPr>
        <w:tc>
          <w:tcPr>
            <w:tcW w:w="13608" w:type="dxa"/>
            <w:tcMar>
              <w:top w:w="0" w:type="dxa"/>
              <w:left w:w="108" w:type="dxa"/>
              <w:bottom w:w="0" w:type="dxa"/>
              <w:right w:w="108" w:type="dxa"/>
            </w:tcMar>
            <w:hideMark/>
          </w:tcPr>
          <w:p w14:paraId="70611C71" w14:textId="77777777" w:rsidR="00C70EC5" w:rsidRDefault="00C70EC5">
            <w:pPr>
              <w:ind w:firstLine="0"/>
            </w:pPr>
            <w:r>
              <w:t> </w:t>
            </w:r>
          </w:p>
        </w:tc>
        <w:tc>
          <w:tcPr>
            <w:tcW w:w="9115" w:type="dxa"/>
            <w:tcMar>
              <w:top w:w="0" w:type="dxa"/>
              <w:left w:w="108" w:type="dxa"/>
              <w:bottom w:w="0" w:type="dxa"/>
              <w:right w:w="108" w:type="dxa"/>
            </w:tcMar>
            <w:hideMark/>
          </w:tcPr>
          <w:p w14:paraId="588D0260" w14:textId="77777777" w:rsidR="00C70EC5" w:rsidRDefault="00C70EC5">
            <w:pPr>
              <w:jc w:val="center"/>
            </w:pPr>
            <w:r>
              <w:t xml:space="preserve">Приложение к </w:t>
            </w:r>
            <w:hyperlink r:id="rId9" w:history="1">
              <w:r>
                <w:rPr>
                  <w:rStyle w:val="a3"/>
                </w:rPr>
                <w:t>постановлению</w:t>
              </w:r>
            </w:hyperlink>
          </w:p>
          <w:p w14:paraId="34A1094C" w14:textId="77777777" w:rsidR="00C70EC5" w:rsidRDefault="00C70EC5">
            <w:pPr>
              <w:jc w:val="center"/>
            </w:pPr>
            <w:r>
              <w:t>Правления Национального банка</w:t>
            </w:r>
          </w:p>
          <w:p w14:paraId="20EE7C15" w14:textId="77777777" w:rsidR="00C70EC5" w:rsidRDefault="00C70EC5">
            <w:pPr>
              <w:jc w:val="center"/>
            </w:pPr>
            <w:r>
              <w:t>Кыргызской Республики</w:t>
            </w:r>
          </w:p>
          <w:p w14:paraId="781AF270" w14:textId="77777777" w:rsidR="00C70EC5" w:rsidRDefault="00C70EC5">
            <w:pPr>
              <w:jc w:val="center"/>
            </w:pPr>
            <w:r>
              <w:t>от 13 сентября 2018 года №2018-П-14/37-3-(ПС)</w:t>
            </w:r>
          </w:p>
          <w:p w14:paraId="3CD3B776" w14:textId="77777777" w:rsidR="00C70EC5" w:rsidRDefault="00C70EC5">
            <w:pPr>
              <w:ind w:firstLine="0"/>
            </w:pPr>
            <w:r>
              <w:t> </w:t>
            </w:r>
          </w:p>
        </w:tc>
      </w:tr>
    </w:tbl>
    <w:p w14:paraId="16019139" w14:textId="77777777" w:rsidR="00C70EC5" w:rsidRDefault="00C70EC5">
      <w:pPr>
        <w:ind w:firstLine="0"/>
      </w:pPr>
      <w:r>
        <w:t> </w:t>
      </w:r>
    </w:p>
    <w:p w14:paraId="552CF66C" w14:textId="77777777" w:rsidR="00C70EC5" w:rsidRDefault="00C70EC5">
      <w:pPr>
        <w:pStyle w:val="2"/>
        <w:rPr>
          <w:rFonts w:eastAsia="Times New Roman"/>
        </w:rPr>
      </w:pPr>
      <w:bookmarkStart w:id="0" w:name="p1"/>
      <w:r>
        <w:rPr>
          <w:rFonts w:eastAsia="Times New Roman"/>
        </w:rPr>
        <w:t xml:space="preserve">ИЗМЕНЕНИЯ И ДОПОЛНЕНИЯ </w:t>
      </w:r>
      <w:bookmarkEnd w:id="0"/>
    </w:p>
    <w:p w14:paraId="38F66859" w14:textId="77777777" w:rsidR="00C70EC5" w:rsidRDefault="00C70EC5">
      <w:pPr>
        <w:pStyle w:val="2"/>
        <w:rPr>
          <w:rFonts w:eastAsia="Times New Roman"/>
        </w:rPr>
      </w:pPr>
      <w:r>
        <w:rPr>
          <w:rFonts w:eastAsia="Times New Roman"/>
        </w:rPr>
        <w:t xml:space="preserve">в постановление  Правления Национального банка Кыргызской Республики «Об утверждении Правил осуществления денежных переводов по системам денежных переводов в </w:t>
      </w:r>
    </w:p>
    <w:p w14:paraId="600DF360" w14:textId="77777777" w:rsidR="00C70EC5" w:rsidRDefault="00C70EC5">
      <w:pPr>
        <w:pStyle w:val="2"/>
        <w:rPr>
          <w:rFonts w:eastAsia="Times New Roman"/>
        </w:rPr>
      </w:pPr>
      <w:r>
        <w:rPr>
          <w:rFonts w:eastAsia="Times New Roman"/>
        </w:rPr>
        <w:t>Кыргызской Республике» от 15 июля 2009 года № 30/6</w:t>
      </w:r>
    </w:p>
    <w:p w14:paraId="123E89F0" w14:textId="77777777" w:rsidR="00C70EC5" w:rsidRDefault="00C70EC5">
      <w:pPr>
        <w:pStyle w:val="2"/>
        <w:rPr>
          <w:rFonts w:eastAsia="Times New Roman"/>
        </w:rPr>
      </w:pPr>
      <w:r>
        <w:rPr>
          <w:rFonts w:eastAsia="Times New Roman"/>
        </w:rPr>
        <w:t> </w:t>
      </w:r>
    </w:p>
    <w:p w14:paraId="043E6A6C" w14:textId="77777777" w:rsidR="00C70EC5" w:rsidRDefault="00C70EC5">
      <w:r>
        <w:t> </w:t>
      </w:r>
    </w:p>
    <w:p w14:paraId="6985677B" w14:textId="77777777" w:rsidR="00C70EC5" w:rsidRDefault="00C70EC5">
      <w:r>
        <w:t xml:space="preserve">Внести в </w:t>
      </w:r>
      <w:hyperlink r:id="rId10" w:history="1">
        <w:r>
          <w:rPr>
            <w:rStyle w:val="a3"/>
          </w:rPr>
          <w:t>постановление</w:t>
        </w:r>
      </w:hyperlink>
      <w:r>
        <w:t xml:space="preserve"> Правления Национального банка Кыргызской Республики «Об утверждении </w:t>
      </w:r>
      <w:hyperlink r:id="rId11" w:history="1">
        <w:r>
          <w:rPr>
            <w:rStyle w:val="a3"/>
          </w:rPr>
          <w:t>Правил</w:t>
        </w:r>
      </w:hyperlink>
      <w:r>
        <w:t xml:space="preserve"> осуществления денежных переводов по системам денежных переводов в Кыргызской Республике» от 15 июля 2009 года № 30/6 следующие изменения и дополнения:</w:t>
      </w:r>
    </w:p>
    <w:p w14:paraId="3DDFC701" w14:textId="77777777" w:rsidR="00C70EC5" w:rsidRDefault="00C70EC5">
      <w:r>
        <w:t xml:space="preserve">в </w:t>
      </w:r>
      <w:hyperlink r:id="rId12" w:history="1">
        <w:r>
          <w:rPr>
            <w:rStyle w:val="a3"/>
          </w:rPr>
          <w:t>Правилах</w:t>
        </w:r>
      </w:hyperlink>
      <w:r>
        <w:t xml:space="preserve"> осуществления денежных переводов по системам денежных переводов в Кыргызской Республике, утвержденных вышеуказанным </w:t>
      </w:r>
      <w:hyperlink r:id="rId13" w:history="1">
        <w:r>
          <w:rPr>
            <w:rStyle w:val="a3"/>
          </w:rPr>
          <w:t>постановлением</w:t>
        </w:r>
      </w:hyperlink>
      <w:r>
        <w:t>:</w:t>
      </w:r>
    </w:p>
    <w:p w14:paraId="4CE24BBA"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пункт 1.2 дополнить абзацами следующего содержания:</w:t>
      </w:r>
    </w:p>
    <w:p w14:paraId="207FFAA9" w14:textId="77777777" w:rsidR="00C70EC5" w:rsidRDefault="00C70EC5">
      <w:r>
        <w:t>«Денежный перевод по международной системе денежных переводов на территории Кыргызской Республики предоставляется получателю в валюте перевода/выплаты, указанной отправителем, и отличной от национальной валюты Кыргызской Республики - сом.</w:t>
      </w:r>
    </w:p>
    <w:p w14:paraId="68BFE1EF" w14:textId="77777777" w:rsidR="00C70EC5" w:rsidRDefault="00C70EC5">
      <w:r>
        <w:t>Конвертация денежного перевода, поступившего по системе денежных переводов, из валюты перевода/выплаты в другую валюту осуществляется в соответствии с законодательством Кыргызской Республики.».</w:t>
      </w:r>
    </w:p>
    <w:p w14:paraId="244B850A"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пункт 1.5 дополнить абзацем следующего содержания:</w:t>
      </w:r>
    </w:p>
    <w:p w14:paraId="003B83BD" w14:textId="77777777" w:rsidR="00C70EC5" w:rsidRDefault="00C70EC5">
      <w:r>
        <w:t>«Деятельность оператора системы денежных переводов - резидента Кыргызской Республики по осуществлению денежных переводов за пределами Кыргызской Республики через собственную систему денежных переводов должна осуществляться в соответствии с законодательством той страны, в которой он осуществляет такую деятельность.».</w:t>
      </w:r>
    </w:p>
    <w:p w14:paraId="0639987F"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пункт 2.3 дополнить абзацем следующего содержания:</w:t>
      </w:r>
    </w:p>
    <w:p w14:paraId="6A9BE167" w14:textId="77777777" w:rsidR="00C70EC5" w:rsidRDefault="00C70EC5">
      <w:r>
        <w:t xml:space="preserve">«Денежный перевод можно осуществлять со счета по банковскому вкладу (депозиту) до востребования физического лица другому физическому лицу </w:t>
      </w:r>
      <w:r>
        <w:t>(получателю) в Кыргызской Республике или за ее пределами через системы денежных переводов в соответствии с нормативными правовыми актами Кыргызской Республики при условии, что данная операция будет носить личный, некоммерческий характер.».</w:t>
      </w:r>
    </w:p>
    <w:p w14:paraId="79232D81"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пункт 2.5 изложить в следующей редакции:</w:t>
      </w:r>
    </w:p>
    <w:p w14:paraId="559595F0" w14:textId="77777777" w:rsidR="00C70EC5" w:rsidRDefault="00C70EC5">
      <w:r>
        <w:t>«2.5. Отправитель - физическое лицо, инициирующее отправку денежного перевода без открытия банковского счета путем передачи наличных денежных средств банку или денежных средств со счета по банковскому вкладу (депозиту) до востребования физического лица для их отправки в пользу указанного отправителем получателя денежных средств.».</w:t>
      </w:r>
    </w:p>
    <w:p w14:paraId="66A5FD90"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Главу 2 дополнить пунктом 2.10 следующего содержания:</w:t>
      </w:r>
    </w:p>
    <w:p w14:paraId="08FD744D" w14:textId="77777777" w:rsidR="00C70EC5" w:rsidRDefault="00C70EC5">
      <w:r>
        <w:t>«2.10. Пакетный перевод в соответствии с рекомендациями ФАТФ - перевод, составленный из ряда индивидуальных денежных переводов, которые отправляются в адрес одного финансового учреждения (банка) и могут быть адресованы одному или разным лицам.».</w:t>
      </w:r>
    </w:p>
    <w:p w14:paraId="7E637287"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в пункте 3.1:</w:t>
      </w:r>
    </w:p>
    <w:p w14:paraId="482DACF6" w14:textId="77777777" w:rsidR="00C70EC5" w:rsidRDefault="00C70EC5">
      <w:r>
        <w:t>слова «оператор платежной системы» в различных падежных формах заменить словами «оператор системы денежных переводов»;</w:t>
      </w:r>
    </w:p>
    <w:p w14:paraId="1B514664" w14:textId="77777777" w:rsidR="00C70EC5" w:rsidRDefault="00C70EC5">
      <w:r>
        <w:t>абзац десятый изложить в следующей редакции:</w:t>
      </w:r>
    </w:p>
    <w:p w14:paraId="180628D2" w14:textId="77777777" w:rsidR="00C70EC5" w:rsidRDefault="00C70EC5">
      <w:r>
        <w:t>«- свидетельство о регистрации оператора системы денежных переводов, лицензия/сертификат на право осуществления денежных переводов, выданные уполномоченным органом по финансовому надзору страны происхождения или подтверждение уполномоченного органа по финансовому надзору страны происхождения/юридической компании о том, что в соответствии с национальным законодательством страны происхождения оператора системы денежных переводов наличие таких документов не является обязательным/не является лицензируемым видом</w:t>
      </w:r>
      <w:r>
        <w:t xml:space="preserve"> деятельности;»;</w:t>
      </w:r>
    </w:p>
    <w:p w14:paraId="3F58C67F" w14:textId="77777777" w:rsidR="00C70EC5" w:rsidRDefault="00C70EC5">
      <w:r>
        <w:t>абзац тринадцатый изложить в следующей редакции:</w:t>
      </w:r>
    </w:p>
    <w:p w14:paraId="4BC3D78B" w14:textId="77777777" w:rsidR="00C70EC5" w:rsidRDefault="00C70EC5">
      <w:r>
        <w:t>«Если система денежных переводов принадлежит банку, в Национальный банк дополнительно предоставляется надлежащим образом заверенная копия лицензии на осуществление банковских операций, выданная центральным (национальным) банком страны происхождения.»;</w:t>
      </w:r>
    </w:p>
    <w:p w14:paraId="3330CE6E" w14:textId="77777777" w:rsidR="00C70EC5" w:rsidRDefault="00C70EC5">
      <w:r>
        <w:t>абзацы четырнадцатый, пятнадцатый и шестнадцатый признать утратившим силу.</w:t>
      </w:r>
    </w:p>
    <w:p w14:paraId="726C311E"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 xml:space="preserve">подпункт 7 пункта 3.5 изложить в следующей редакции: </w:t>
      </w:r>
    </w:p>
    <w:p w14:paraId="3BA53FF7" w14:textId="77777777" w:rsidR="00C70EC5" w:rsidRDefault="00C70EC5">
      <w:pPr>
        <w:pStyle w:val="af4"/>
        <w:ind w:left="1117" w:firstLine="0"/>
      </w:pPr>
      <w:r>
        <w:t>«7) осуществление взаиморасчетов на ежедневной основе.».</w:t>
      </w:r>
    </w:p>
    <w:p w14:paraId="4D93A824"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пункт 3.7 изложить в следующей редакции:</w:t>
      </w:r>
    </w:p>
    <w:p w14:paraId="34A65CDF" w14:textId="77777777" w:rsidR="00C70EC5" w:rsidRDefault="00C70EC5">
      <w:r>
        <w:t>«3.7. Оператор, кроме оператора локальных систем денежных переводов, в целях гарантии денежных обязательств перед участником платежной системы должен обеспечить выполнение одного из условий:</w:t>
      </w:r>
    </w:p>
    <w:p w14:paraId="6D45B126" w14:textId="77777777" w:rsidR="00C70EC5" w:rsidRDefault="00C70EC5">
      <w:pPr>
        <w:pStyle w:val="af4"/>
        <w:ind w:left="1117" w:hanging="360"/>
      </w:pPr>
      <w:r>
        <w:t>1)</w:t>
      </w:r>
      <w:r>
        <w:rPr>
          <w:rFonts w:ascii="Times New Roman" w:hAnsi="Times New Roman" w:cs="Times New Roman"/>
          <w:sz w:val="14"/>
          <w:szCs w:val="14"/>
        </w:rPr>
        <w:t xml:space="preserve">    </w:t>
      </w:r>
      <w:r>
        <w:t>разместить на указанном банком-участником корреспондентском счете обязательный страховой депозит в объеме, покрывающем средний ежедневный оборот по всем производимым операциям (за месяц/квартал/год по согласованию). В расчет объема страхового депозита также входят суммы денежных переводов, приходящиеся на выходные и праздничные дни. Размер страхового депозита устанавливается ежемесячно.</w:t>
      </w:r>
    </w:p>
    <w:p w14:paraId="25A9EC5A" w14:textId="77777777" w:rsidR="00C70EC5" w:rsidRDefault="00C70EC5">
      <w:pPr>
        <w:ind w:firstLine="708"/>
      </w:pPr>
      <w:r>
        <w:t>В случае неисполнения или ненадлежащего исполнения обязательств оператором средства страхового депозита используются участником для удовлетворения требований по таким обязательствам.</w:t>
      </w:r>
    </w:p>
    <w:p w14:paraId="02DD01C1" w14:textId="77777777" w:rsidR="00C70EC5" w:rsidRDefault="00C70EC5">
      <w:pPr>
        <w:ind w:firstLine="708"/>
      </w:pPr>
      <w:r>
        <w:t>В случае прекращения договора по предоставлению услуг перевода денежных средств без открытия счета по инициативе оператора или участника средства страхового депозита возвращаются оператору в порядке и сроки, предусмотренные договорными отношениями;</w:t>
      </w:r>
    </w:p>
    <w:p w14:paraId="73990068" w14:textId="77777777" w:rsidR="00C70EC5" w:rsidRDefault="00C70EC5">
      <w:pPr>
        <w:pStyle w:val="af4"/>
        <w:ind w:left="1117" w:hanging="360"/>
      </w:pPr>
      <w:r>
        <w:t>2)</w:t>
      </w:r>
      <w:r>
        <w:rPr>
          <w:rFonts w:ascii="Times New Roman" w:hAnsi="Times New Roman" w:cs="Times New Roman"/>
          <w:sz w:val="14"/>
          <w:szCs w:val="14"/>
        </w:rPr>
        <w:t xml:space="preserve">    </w:t>
      </w:r>
      <w:r>
        <w:t>предоставить участнику за день до следующего операционного дня предоплату (авансовый/обеспечительный платеж) путем ее размещения на указанном банком-участником корреспондентском счете в размере среднедневного объема денежных переводов, выплаченных участником получателям. Сумма предоплаты (авансового/обеспечительного платежа) определяется по согласованию сторон на основе данных за месяц/квартал/год и устанавливается не реже одного раза в месяц. В операционный день, предшествующий выходным и праздничным дням,</w:t>
      </w:r>
      <w:r>
        <w:t xml:space="preserve"> сумма предоплаты (авансового/обеспечительного платежа) увеличивается на сумму среднедневного объема, приходящегося на выходные и праздничные дни.».</w:t>
      </w:r>
    </w:p>
    <w:p w14:paraId="4FB197EF"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пункт 4.4 изложить в следующей редакции:</w:t>
      </w:r>
    </w:p>
    <w:p w14:paraId="6B1E89DB" w14:textId="77777777" w:rsidR="00C70EC5" w:rsidRDefault="00C70EC5">
      <w:pPr>
        <w:ind w:firstLine="708"/>
      </w:pPr>
      <w:r>
        <w:t>«4.4. Участник, предоставляя услуги по денежным переводам без открытия банковского счета через системы денежных переводов, должен соблюдать требования законодательства Кыргызской Республики по противодействию финансированию террористической деятельности и легализации (отмыванию) преступных доходов.».</w:t>
      </w:r>
    </w:p>
    <w:p w14:paraId="0D9B9531"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пункт 4.9 изложить в следующей редакции:</w:t>
      </w:r>
    </w:p>
    <w:p w14:paraId="24B72B61" w14:textId="77777777" w:rsidR="00C70EC5" w:rsidRDefault="00C70EC5">
      <w:r>
        <w:t xml:space="preserve">«4.9. Участник должен вести учет по каждой операции по денежному переводу, по пакетным файлам, в случае если несколько' переводов объединены в дин пакетный перевод, и хранить информацию об отправителе и получателе денежного перевода (ФИО, год рождения, домашний адрес, паспортные данные либо данные документа, удостоверяющего личность, номер банковского счета при отправке/по лучении денежного перевода безналичным способом), цель перевода, сумму перевода цифрами и прописью и другую информацию в соответствии с </w:t>
      </w:r>
      <w:r>
        <w:t>требованиями нормативных правовых актов Кыргызской Республики по хранению платежных документов.</w:t>
      </w:r>
    </w:p>
    <w:p w14:paraId="2207F305" w14:textId="77777777" w:rsidR="00C70EC5" w:rsidRDefault="00C70EC5">
      <w:r>
        <w:t>В случае если участник в процессе перевода денежных средств не является отправителем и получателем при осуществлении перевода (то есть выполняет функции транзитного финансового учреждения (банка), он должен обеспечить выполнение следующих требований в соответствии с рекомендациями ФАТФ и законодательством о противодействии финансированию террористической деятельности и легализации (отмыванию) преступных доходов:</w:t>
      </w:r>
    </w:p>
    <w:p w14:paraId="2602C4EF" w14:textId="77777777" w:rsidR="00C70EC5" w:rsidRDefault="00C70EC5">
      <w:pPr>
        <w:pStyle w:val="af4"/>
        <w:ind w:left="1117" w:hanging="360"/>
      </w:pPr>
      <w:r>
        <w:t>1)</w:t>
      </w:r>
      <w:r>
        <w:rPr>
          <w:rFonts w:ascii="Times New Roman" w:hAnsi="Times New Roman" w:cs="Times New Roman"/>
          <w:sz w:val="14"/>
          <w:szCs w:val="14"/>
        </w:rPr>
        <w:t xml:space="preserve">    </w:t>
      </w:r>
      <w:r>
        <w:t>обеспечить сохранение у себя всей сопровождающей трансграничный денежный перевод информации об отправителе и получателе (ФИО, год рождения, домашний адрес, паспортные данные либо данные документа, удостоверяющего личность, номер банковского счета при отправке/получении денежного перевода безналичным способом);</w:t>
      </w:r>
    </w:p>
    <w:p w14:paraId="5349CE8E" w14:textId="77777777" w:rsidR="00C70EC5" w:rsidRDefault="00C70EC5">
      <w:pPr>
        <w:pStyle w:val="af4"/>
        <w:ind w:left="1117" w:hanging="360"/>
      </w:pPr>
      <w:r>
        <w:t>2)</w:t>
      </w:r>
      <w:r>
        <w:rPr>
          <w:rFonts w:ascii="Times New Roman" w:hAnsi="Times New Roman" w:cs="Times New Roman"/>
          <w:sz w:val="14"/>
          <w:szCs w:val="14"/>
        </w:rPr>
        <w:t xml:space="preserve">    </w:t>
      </w:r>
      <w:r>
        <w:t>не менее пяти лет хранить запись всей сопровождающей трансграничный денежный перевод информации, полученной от отправлявшего финансового учреждения (банка/оператора системы денежных переводов);</w:t>
      </w:r>
    </w:p>
    <w:p w14:paraId="5185ED3C" w14:textId="77777777" w:rsidR="00C70EC5" w:rsidRDefault="00C70EC5">
      <w:pPr>
        <w:pStyle w:val="af4"/>
        <w:ind w:left="1117" w:hanging="360"/>
      </w:pPr>
      <w:r>
        <w:t>3)</w:t>
      </w:r>
      <w:r>
        <w:rPr>
          <w:rFonts w:ascii="Times New Roman" w:hAnsi="Times New Roman" w:cs="Times New Roman"/>
          <w:sz w:val="14"/>
          <w:szCs w:val="14"/>
        </w:rPr>
        <w:t xml:space="preserve">    </w:t>
      </w:r>
      <w:r>
        <w:t>принимать меры для выявления трансграничных денежных переводов, не содержащих информации о получателе или отправителе, сопровождающей денежный перевод, а также иметь риск-ориентированные процедуры для исполнения/ отклонения/ приостановления таких переводов;</w:t>
      </w:r>
    </w:p>
    <w:p w14:paraId="19EAF3DC" w14:textId="77777777" w:rsidR="00C70EC5" w:rsidRDefault="00C70EC5">
      <w:pPr>
        <w:pStyle w:val="af4"/>
        <w:ind w:left="1117" w:hanging="360"/>
      </w:pPr>
      <w:r>
        <w:t>4)</w:t>
      </w:r>
      <w:r>
        <w:rPr>
          <w:rFonts w:ascii="Times New Roman" w:hAnsi="Times New Roman" w:cs="Times New Roman"/>
          <w:sz w:val="14"/>
          <w:szCs w:val="14"/>
        </w:rPr>
        <w:t xml:space="preserve">    </w:t>
      </w:r>
      <w:r>
        <w:t>осуществлять мониторинг с целью выявления трансграничных денежных переводов, не содержащих информацию об отправителе, сопровождающую денежный перевод.».</w:t>
      </w:r>
    </w:p>
    <w:p w14:paraId="659A0953"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абзац второй пункта 4.11 признать утратившим силу.</w:t>
      </w:r>
    </w:p>
    <w:p w14:paraId="61649D27"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первое предложение пункта 5.2 изложить в следующей редакции:</w:t>
      </w:r>
    </w:p>
    <w:p w14:paraId="6BEDBF80" w14:textId="77777777" w:rsidR="00C70EC5" w:rsidRDefault="00C70EC5">
      <w:r>
        <w:t>«Участник должен разработать и согласовать с оператором комплекс мер по применению различных методов управления рисками, в том числе связанными с возможным превышением суммы текущих денежных обязательств оператора над суммой страхового депозита или предоплаты (авансового/обеспечительного платежа), и предусмотреть распределение ответственности между сторонами в договоре по участию в системе денежных переводов.».</w:t>
      </w:r>
    </w:p>
    <w:p w14:paraId="1AD885A4"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пункт 6.2 изложить в следующей редакции:</w:t>
      </w:r>
    </w:p>
    <w:p w14:paraId="7F8BAD08" w14:textId="77777777" w:rsidR="00C70EC5" w:rsidRDefault="00C70EC5">
      <w:r>
        <w:t>«6.2. Участник обязан хранить информацию и документацию по проводимым операциям через системы денежных переводов в соответствии со сроками хранения платежных документов, определенных нормативными правовыми актами Кыргызской Республики и законодательством о противодействии легализации/отмыванию преступных доходов и финансированию террористической или экстремистской деятельности.».</w:t>
      </w:r>
    </w:p>
    <w:p w14:paraId="2C79FE8C" w14:textId="77777777" w:rsidR="00C70EC5" w:rsidRDefault="00C70EC5">
      <w:pPr>
        <w:pStyle w:val="af4"/>
        <w:ind w:left="1117" w:hanging="360"/>
      </w:pPr>
      <w:r>
        <w:rPr>
          <w:rFonts w:ascii="Times New Roman" w:hAnsi="Times New Roman" w:cs="Times New Roman"/>
        </w:rPr>
        <w:t>-</w:t>
      </w:r>
      <w:r>
        <w:rPr>
          <w:rFonts w:ascii="Times New Roman" w:hAnsi="Times New Roman" w:cs="Times New Roman"/>
          <w:sz w:val="14"/>
          <w:szCs w:val="14"/>
        </w:rPr>
        <w:t xml:space="preserve">          </w:t>
      </w:r>
      <w:r>
        <w:t>первое предложение пункта 6.6 изложить в следующей редакции:</w:t>
      </w:r>
    </w:p>
    <w:p w14:paraId="5F271766" w14:textId="77777777" w:rsidR="00C70EC5" w:rsidRDefault="00C70EC5">
      <w:r>
        <w:t>«6.6. Оператор по запросу Национального банка должен предоставлять подробную информацию об операции по запрашиваемому денежному переводу, об отправителе и/или получателе денежного перевода (ФИО, год рождения, домашний адрес, паспортные данные либо данные документа, удостоверяющего личность, номер банковского счета при отправке/получении денежного перевода безналичным способом), цель перевода, сумму перевода цифрами с приложением копий всех подтверждающих документов.».</w:t>
      </w:r>
    </w:p>
    <w:p w14:paraId="79B99C63" w14:textId="77777777" w:rsidR="00C70EC5" w:rsidRDefault="00C70EC5">
      <w:pPr>
        <w:pStyle w:val="af4"/>
        <w:ind w:left="1117" w:hanging="360"/>
      </w:pPr>
      <w:r>
        <w:rPr>
          <w:rStyle w:val="FontStyle29"/>
        </w:rPr>
        <w:t>-</w:t>
      </w:r>
      <w:r>
        <w:rPr>
          <w:rStyle w:val="FontStyle29"/>
          <w:sz w:val="14"/>
          <w:szCs w:val="14"/>
        </w:rPr>
        <w:t xml:space="preserve">          </w:t>
      </w:r>
      <w:r>
        <w:t>Приложение 2 изложить в следующей редакции:</w:t>
      </w:r>
    </w:p>
    <w:tbl>
      <w:tblPr>
        <w:tblpPr w:leftFromText="180" w:rightFromText="180" w:vertAnchor="text"/>
        <w:tblW w:w="5000" w:type="pct"/>
        <w:tblCellMar>
          <w:left w:w="0" w:type="dxa"/>
          <w:right w:w="0" w:type="dxa"/>
        </w:tblCellMar>
        <w:tblLook w:val="04A0" w:firstRow="1" w:lastRow="0" w:firstColumn="1" w:lastColumn="0" w:noHBand="0" w:noVBand="1"/>
      </w:tblPr>
      <w:tblGrid>
        <w:gridCol w:w="4203"/>
        <w:gridCol w:w="5152"/>
      </w:tblGrid>
      <w:tr w:rsidR="00000000" w14:paraId="5F8987E8" w14:textId="77777777">
        <w:tc>
          <w:tcPr>
            <w:tcW w:w="11721" w:type="dxa"/>
            <w:tcMar>
              <w:top w:w="0" w:type="dxa"/>
              <w:left w:w="108" w:type="dxa"/>
              <w:bottom w:w="0" w:type="dxa"/>
              <w:right w:w="108" w:type="dxa"/>
            </w:tcMar>
            <w:hideMark/>
          </w:tcPr>
          <w:p w14:paraId="60B1773A" w14:textId="77777777" w:rsidR="00C70EC5" w:rsidRDefault="00C70EC5">
            <w:pPr>
              <w:pStyle w:val="Style2"/>
              <w:spacing w:before="53" w:line="240" w:lineRule="auto"/>
              <w:jc w:val="right"/>
            </w:pPr>
            <w:r>
              <w:rPr>
                <w:rFonts w:hint="eastAsia"/>
              </w:rPr>
              <w:t> </w:t>
            </w:r>
          </w:p>
        </w:tc>
        <w:tc>
          <w:tcPr>
            <w:tcW w:w="11724" w:type="dxa"/>
            <w:tcMar>
              <w:top w:w="0" w:type="dxa"/>
              <w:left w:w="108" w:type="dxa"/>
              <w:bottom w:w="0" w:type="dxa"/>
              <w:right w:w="108" w:type="dxa"/>
            </w:tcMar>
            <w:hideMark/>
          </w:tcPr>
          <w:p w14:paraId="1337D041" w14:textId="77777777" w:rsidR="00C70EC5" w:rsidRDefault="00C70EC5">
            <w:pPr>
              <w:pStyle w:val="Style2"/>
              <w:spacing w:before="53" w:line="240" w:lineRule="auto"/>
              <w:rPr>
                <w:rFonts w:hint="eastAsia"/>
              </w:rPr>
            </w:pPr>
            <w:r>
              <w:rPr>
                <w:rStyle w:val="FontStyle29"/>
              </w:rPr>
              <w:t>Приложение 2</w:t>
            </w:r>
          </w:p>
          <w:p w14:paraId="5F3CFB78" w14:textId="77777777" w:rsidR="00C70EC5" w:rsidRDefault="00C70EC5">
            <w:pPr>
              <w:pStyle w:val="Style2"/>
              <w:spacing w:before="53" w:line="240" w:lineRule="auto"/>
              <w:rPr>
                <w:rFonts w:hint="eastAsia"/>
              </w:rPr>
            </w:pPr>
            <w:r>
              <w:rPr>
                <w:rStyle w:val="FontStyle29"/>
              </w:rPr>
              <w:t>К Правилам осуществления</w:t>
            </w:r>
          </w:p>
          <w:p w14:paraId="41880ABA" w14:textId="77777777" w:rsidR="00C70EC5" w:rsidRDefault="00C70EC5">
            <w:pPr>
              <w:pStyle w:val="Style2"/>
              <w:spacing w:before="53" w:line="240" w:lineRule="auto"/>
              <w:rPr>
                <w:rFonts w:hint="eastAsia"/>
              </w:rPr>
            </w:pPr>
            <w:r>
              <w:rPr>
                <w:rStyle w:val="FontStyle29"/>
              </w:rPr>
              <w:t>денежных переводов по системам</w:t>
            </w:r>
          </w:p>
          <w:p w14:paraId="1B105D23" w14:textId="77777777" w:rsidR="00C70EC5" w:rsidRDefault="00C70EC5">
            <w:pPr>
              <w:pStyle w:val="Style2"/>
              <w:spacing w:before="53" w:line="240" w:lineRule="auto"/>
              <w:rPr>
                <w:rFonts w:hint="eastAsia"/>
              </w:rPr>
            </w:pPr>
            <w:r>
              <w:rPr>
                <w:rStyle w:val="FontStyle29"/>
              </w:rPr>
              <w:t>денежных переводов</w:t>
            </w:r>
          </w:p>
          <w:p w14:paraId="5DD1B9D7" w14:textId="77777777" w:rsidR="00C70EC5" w:rsidRDefault="00C70EC5">
            <w:pPr>
              <w:pStyle w:val="Style2"/>
              <w:spacing w:before="53" w:line="240" w:lineRule="auto"/>
              <w:rPr>
                <w:rFonts w:hint="eastAsia"/>
              </w:rPr>
            </w:pPr>
            <w:r>
              <w:rPr>
                <w:rStyle w:val="FontStyle29"/>
              </w:rPr>
              <w:t>в Кыргызской Республике</w:t>
            </w:r>
          </w:p>
          <w:p w14:paraId="51D35ACD" w14:textId="77777777" w:rsidR="00C70EC5" w:rsidRDefault="00C70EC5">
            <w:pPr>
              <w:pStyle w:val="Style2"/>
              <w:spacing w:before="53" w:line="240" w:lineRule="auto"/>
              <w:rPr>
                <w:rFonts w:hint="eastAsia"/>
              </w:rPr>
            </w:pPr>
            <w:r>
              <w:rPr>
                <w:rFonts w:hint="eastAsia"/>
              </w:rPr>
              <w:t> </w:t>
            </w:r>
          </w:p>
          <w:p w14:paraId="344F4151" w14:textId="77777777" w:rsidR="00C70EC5" w:rsidRDefault="00C70EC5">
            <w:pPr>
              <w:pStyle w:val="Style2"/>
              <w:spacing w:before="53" w:line="240" w:lineRule="auto"/>
              <w:rPr>
                <w:rFonts w:hint="eastAsia"/>
              </w:rPr>
            </w:pPr>
            <w:r>
              <w:rPr>
                <w:rFonts w:hint="eastAsia"/>
              </w:rPr>
              <w:t> </w:t>
            </w:r>
          </w:p>
        </w:tc>
      </w:tr>
    </w:tbl>
    <w:p w14:paraId="3A2FB40F" w14:textId="77777777" w:rsidR="00C70EC5" w:rsidRDefault="00C70EC5">
      <w:pPr>
        <w:pStyle w:val="Style6"/>
        <w:spacing w:line="274" w:lineRule="atLeast"/>
        <w:rPr>
          <w:rFonts w:hint="eastAsia"/>
        </w:rPr>
      </w:pPr>
      <w:r>
        <w:rPr>
          <w:rFonts w:hint="eastAsia"/>
        </w:rPr>
        <w:t> </w:t>
      </w:r>
    </w:p>
    <w:p w14:paraId="531B890D" w14:textId="77777777" w:rsidR="00C70EC5" w:rsidRDefault="00C70EC5">
      <w:pPr>
        <w:pStyle w:val="Style6"/>
        <w:spacing w:line="274" w:lineRule="atLeast"/>
        <w:rPr>
          <w:rFonts w:hint="eastAsia"/>
        </w:rPr>
      </w:pPr>
      <w:r>
        <w:rPr>
          <w:rFonts w:hint="eastAsia"/>
        </w:rPr>
        <w:t> </w:t>
      </w:r>
    </w:p>
    <w:p w14:paraId="62659D40" w14:textId="77777777" w:rsidR="00C70EC5" w:rsidRDefault="00C70EC5">
      <w:pPr>
        <w:pStyle w:val="Style6"/>
        <w:spacing w:line="274" w:lineRule="atLeast"/>
        <w:rPr>
          <w:rFonts w:hint="eastAsia"/>
        </w:rPr>
      </w:pPr>
      <w:r>
        <w:rPr>
          <w:rFonts w:hint="eastAsia"/>
        </w:rPr>
        <w:t> </w:t>
      </w:r>
    </w:p>
    <w:p w14:paraId="6F4E7ECF" w14:textId="77777777" w:rsidR="00C70EC5" w:rsidRDefault="00C70EC5">
      <w:pPr>
        <w:pStyle w:val="Style6"/>
        <w:spacing w:line="274" w:lineRule="atLeast"/>
        <w:jc w:val="center"/>
        <w:rPr>
          <w:rFonts w:hint="eastAsia"/>
        </w:rPr>
      </w:pPr>
      <w:r>
        <w:rPr>
          <w:rStyle w:val="FontStyle29"/>
        </w:rPr>
        <w:t>Сведение об исполнении пункта 3.7. Правил*</w:t>
      </w:r>
    </w:p>
    <w:p w14:paraId="3163ADE2" w14:textId="77777777" w:rsidR="00C70EC5" w:rsidRDefault="00C70EC5">
      <w:pPr>
        <w:pStyle w:val="Style2"/>
        <w:spacing w:before="53" w:line="240" w:lineRule="auto"/>
        <w:jc w:val="right"/>
        <w:rPr>
          <w:rFonts w:hint="eastAsia"/>
        </w:rPr>
      </w:pPr>
      <w:r>
        <w:rPr>
          <w:rFonts w:hint="eastAsia"/>
        </w:rPr>
        <w:t> </w:t>
      </w:r>
    </w:p>
    <w:p w14:paraId="5812731E" w14:textId="77777777" w:rsidR="00C70EC5" w:rsidRDefault="00C70EC5">
      <w:pPr>
        <w:pStyle w:val="Style2"/>
        <w:spacing w:before="53" w:line="240" w:lineRule="auto"/>
        <w:jc w:val="right"/>
        <w:rPr>
          <w:rFonts w:hint="eastAsia"/>
        </w:rPr>
      </w:pPr>
      <w:r>
        <w:rPr>
          <w:rFonts w:hint="eastAsia"/>
        </w:rPr>
        <w:t> </w:t>
      </w:r>
    </w:p>
    <w:tbl>
      <w:tblPr>
        <w:tblW w:w="5000" w:type="pct"/>
        <w:jc w:val="center"/>
        <w:tblCellMar>
          <w:left w:w="0" w:type="dxa"/>
          <w:right w:w="0" w:type="dxa"/>
        </w:tblCellMar>
        <w:tblLook w:val="04A0" w:firstRow="1" w:lastRow="0" w:firstColumn="1" w:lastColumn="0" w:noHBand="0" w:noVBand="1"/>
      </w:tblPr>
      <w:tblGrid>
        <w:gridCol w:w="1605"/>
        <w:gridCol w:w="1419"/>
        <w:gridCol w:w="1069"/>
        <w:gridCol w:w="1314"/>
        <w:gridCol w:w="1074"/>
        <w:gridCol w:w="1700"/>
        <w:gridCol w:w="1029"/>
        <w:gridCol w:w="1130"/>
        <w:gridCol w:w="1228"/>
        <w:gridCol w:w="1387"/>
        <w:gridCol w:w="1494"/>
        <w:gridCol w:w="1519"/>
        <w:gridCol w:w="2129"/>
      </w:tblGrid>
      <w:tr w:rsidR="00000000" w14:paraId="0019203E" w14:textId="77777777">
        <w:trPr>
          <w:trHeight w:val="780"/>
          <w:jc w:val="center"/>
        </w:trPr>
        <w:tc>
          <w:tcPr>
            <w:tcW w:w="166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D732B1" w14:textId="77777777" w:rsidR="00C70EC5" w:rsidRDefault="00C70EC5">
            <w:pPr>
              <w:pStyle w:val="Style25"/>
              <w:spacing w:before="19"/>
              <w:rPr>
                <w:rFonts w:hint="eastAsia"/>
              </w:rPr>
            </w:pPr>
            <w:r>
              <w:rPr>
                <w:rFonts w:ascii="Times New Roman" w:eastAsia="Times New Roman" w:hAnsi="Times New Roman"/>
                <w:sz w:val="22"/>
                <w:szCs w:val="22"/>
              </w:rPr>
              <w:br w:type="page"/>
            </w:r>
            <w:r>
              <w:rPr>
                <w:rStyle w:val="FontStyle40"/>
                <w:rFonts w:ascii="Arial" w:hAnsi="Arial" w:cs="Arial"/>
                <w:b w:val="0"/>
                <w:bCs w:val="0"/>
                <w:sz w:val="20"/>
                <w:szCs w:val="20"/>
              </w:rPr>
              <w:t>Наименование системы денежных переводов</w:t>
            </w:r>
          </w:p>
          <w:p w14:paraId="18C0A69E" w14:textId="77777777" w:rsidR="00C70EC5" w:rsidRDefault="00C70EC5">
            <w:pPr>
              <w:pStyle w:val="Style25"/>
              <w:spacing w:before="19"/>
              <w:rPr>
                <w:rFonts w:hint="eastAsia"/>
              </w:rPr>
            </w:pPr>
            <w:r>
              <w:rPr>
                <w:rFonts w:hint="eastAsia"/>
              </w:rPr>
              <w:t> </w:t>
            </w:r>
          </w:p>
        </w:tc>
        <w:tc>
          <w:tcPr>
            <w:tcW w:w="16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1C4A79B" w14:textId="77777777" w:rsidR="00C70EC5" w:rsidRDefault="00C70EC5">
            <w:pPr>
              <w:pStyle w:val="Style25"/>
              <w:spacing w:before="19"/>
              <w:rPr>
                <w:rFonts w:hint="eastAsia"/>
              </w:rPr>
            </w:pPr>
            <w:r>
              <w:rPr>
                <w:rStyle w:val="FontStyle40"/>
                <w:rFonts w:ascii="Arial" w:hAnsi="Arial" w:cs="Arial"/>
                <w:b w:val="0"/>
                <w:bCs w:val="0"/>
                <w:sz w:val="20"/>
                <w:szCs w:val="20"/>
              </w:rPr>
              <w:t>Вид обеспечения по пункту 3.7.</w:t>
            </w:r>
          </w:p>
        </w:tc>
        <w:tc>
          <w:tcPr>
            <w:tcW w:w="165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05EC597" w14:textId="77777777" w:rsidR="00C70EC5" w:rsidRDefault="00C70EC5">
            <w:pPr>
              <w:pStyle w:val="Style25"/>
              <w:spacing w:before="19"/>
              <w:rPr>
                <w:rFonts w:hint="eastAsia"/>
              </w:rPr>
            </w:pPr>
            <w:r>
              <w:rPr>
                <w:rStyle w:val="FontStyle40"/>
                <w:rFonts w:ascii="Arial" w:hAnsi="Arial" w:cs="Arial"/>
                <w:b w:val="0"/>
                <w:bCs w:val="0"/>
                <w:sz w:val="20"/>
                <w:szCs w:val="20"/>
              </w:rPr>
              <w:t>Номер договора</w:t>
            </w:r>
          </w:p>
        </w:tc>
        <w:tc>
          <w:tcPr>
            <w:tcW w:w="165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ECF1B5B" w14:textId="77777777" w:rsidR="00C70EC5" w:rsidRDefault="00C70EC5">
            <w:pPr>
              <w:pStyle w:val="Style25"/>
              <w:spacing w:before="19"/>
              <w:rPr>
                <w:rFonts w:hint="eastAsia"/>
              </w:rPr>
            </w:pPr>
            <w:r>
              <w:rPr>
                <w:rStyle w:val="FontStyle40"/>
                <w:rFonts w:ascii="Arial" w:hAnsi="Arial" w:cs="Arial"/>
                <w:b w:val="0"/>
                <w:bCs w:val="0"/>
                <w:sz w:val="20"/>
                <w:szCs w:val="20"/>
              </w:rPr>
              <w:t xml:space="preserve">Дата </w:t>
            </w:r>
            <w:r>
              <w:rPr>
                <w:rStyle w:val="FontStyle40"/>
                <w:rFonts w:ascii="Arial" w:hAnsi="Arial" w:cs="Arial"/>
                <w:b w:val="0"/>
                <w:bCs w:val="0"/>
                <w:sz w:val="20"/>
                <w:szCs w:val="20"/>
              </w:rPr>
              <w:t>подписания договора</w:t>
            </w:r>
          </w:p>
        </w:tc>
        <w:tc>
          <w:tcPr>
            <w:tcW w:w="165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A59424E" w14:textId="77777777" w:rsidR="00C70EC5" w:rsidRDefault="00C70EC5">
            <w:pPr>
              <w:pStyle w:val="Style25"/>
              <w:spacing w:before="19"/>
              <w:rPr>
                <w:rFonts w:hint="eastAsia"/>
              </w:rPr>
            </w:pPr>
            <w:r>
              <w:rPr>
                <w:rStyle w:val="FontStyle40"/>
                <w:rFonts w:ascii="Arial" w:hAnsi="Arial" w:cs="Arial"/>
                <w:b w:val="0"/>
                <w:bCs w:val="0"/>
                <w:sz w:val="20"/>
                <w:szCs w:val="20"/>
              </w:rPr>
              <w:t>Срок действия договора</w:t>
            </w:r>
          </w:p>
        </w:tc>
        <w:tc>
          <w:tcPr>
            <w:tcW w:w="166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D5198C8" w14:textId="77777777" w:rsidR="00C70EC5" w:rsidRDefault="00C70EC5">
            <w:pPr>
              <w:pStyle w:val="Style25"/>
              <w:spacing w:before="19"/>
              <w:rPr>
                <w:rFonts w:hint="eastAsia"/>
              </w:rPr>
            </w:pPr>
            <w:r>
              <w:rPr>
                <w:rStyle w:val="FontStyle40"/>
                <w:rFonts w:ascii="Arial" w:hAnsi="Arial" w:cs="Arial"/>
                <w:b w:val="0"/>
                <w:bCs w:val="0"/>
                <w:sz w:val="20"/>
                <w:szCs w:val="20"/>
              </w:rPr>
              <w:t>Среднедневной оборот системе денежных переводов (сумма валюта)</w:t>
            </w:r>
          </w:p>
        </w:tc>
        <w:tc>
          <w:tcPr>
            <w:tcW w:w="5231"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E5F0075" w14:textId="77777777" w:rsidR="00C70EC5" w:rsidRDefault="00C70EC5">
            <w:pPr>
              <w:pStyle w:val="Style25"/>
              <w:spacing w:before="19"/>
              <w:rPr>
                <w:rFonts w:hint="eastAsia"/>
              </w:rPr>
            </w:pPr>
            <w:r>
              <w:rPr>
                <w:rStyle w:val="FontStyle40"/>
                <w:rFonts w:ascii="Arial" w:hAnsi="Arial" w:cs="Arial"/>
                <w:b w:val="0"/>
                <w:bCs w:val="0"/>
                <w:sz w:val="20"/>
                <w:szCs w:val="20"/>
              </w:rPr>
              <w:t>Условия договора</w:t>
            </w:r>
          </w:p>
        </w:tc>
        <w:tc>
          <w:tcPr>
            <w:tcW w:w="1669"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A14D24" w14:textId="77777777" w:rsidR="00C70EC5" w:rsidRDefault="00C70EC5">
            <w:pPr>
              <w:pStyle w:val="Style25"/>
              <w:spacing w:before="19"/>
              <w:rPr>
                <w:rFonts w:hint="eastAsia"/>
              </w:rPr>
            </w:pPr>
            <w:r>
              <w:rPr>
                <w:rStyle w:val="FontStyle40"/>
                <w:rFonts w:ascii="Arial" w:hAnsi="Arial" w:cs="Arial"/>
                <w:b w:val="0"/>
                <w:bCs w:val="0"/>
                <w:sz w:val="20"/>
                <w:szCs w:val="20"/>
              </w:rPr>
              <w:t>Примечение/Прочее</w:t>
            </w:r>
          </w:p>
        </w:tc>
      </w:tr>
      <w:tr w:rsidR="00000000" w14:paraId="02B9A845" w14:textId="77777777">
        <w:trPr>
          <w:trHeight w:val="1155"/>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EF6ACE9" w14:textId="77777777" w:rsidR="00C70EC5" w:rsidRDefault="00C70EC5">
            <w:pPr>
              <w:spacing w:after="0" w:line="276" w:lineRule="auto"/>
              <w:ind w:firstLine="0"/>
              <w:jc w:val="left"/>
              <w:rPr>
                <w:rFonts w:ascii="MS Gothic" w:eastAsia="MS Gothic" w:hAnsi="MS Gothic" w:cs="Times New Roman"/>
              </w:rPr>
            </w:pPr>
          </w:p>
        </w:tc>
        <w:tc>
          <w:tcPr>
            <w:tcW w:w="0" w:type="auto"/>
            <w:vMerge/>
            <w:tcBorders>
              <w:top w:val="single" w:sz="8" w:space="0" w:color="auto"/>
              <w:left w:val="nil"/>
              <w:bottom w:val="single" w:sz="8" w:space="0" w:color="auto"/>
              <w:right w:val="single" w:sz="8" w:space="0" w:color="auto"/>
            </w:tcBorders>
            <w:vAlign w:val="center"/>
            <w:hideMark/>
          </w:tcPr>
          <w:p w14:paraId="38543DF0" w14:textId="77777777" w:rsidR="00C70EC5" w:rsidRDefault="00C70EC5">
            <w:pPr>
              <w:spacing w:after="0" w:line="276" w:lineRule="auto"/>
              <w:ind w:firstLine="0"/>
              <w:jc w:val="left"/>
              <w:rPr>
                <w:rFonts w:ascii="MS Gothic" w:eastAsia="MS Gothic" w:hAnsi="MS Gothic" w:cs="Times New Roman"/>
              </w:rPr>
            </w:pPr>
          </w:p>
        </w:tc>
        <w:tc>
          <w:tcPr>
            <w:tcW w:w="0" w:type="auto"/>
            <w:vMerge/>
            <w:tcBorders>
              <w:top w:val="single" w:sz="8" w:space="0" w:color="auto"/>
              <w:left w:val="nil"/>
              <w:bottom w:val="single" w:sz="8" w:space="0" w:color="auto"/>
              <w:right w:val="single" w:sz="8" w:space="0" w:color="auto"/>
            </w:tcBorders>
            <w:vAlign w:val="center"/>
            <w:hideMark/>
          </w:tcPr>
          <w:p w14:paraId="12D8F8C1" w14:textId="77777777" w:rsidR="00C70EC5" w:rsidRDefault="00C70EC5">
            <w:pPr>
              <w:spacing w:after="0" w:line="276" w:lineRule="auto"/>
              <w:ind w:firstLine="0"/>
              <w:jc w:val="left"/>
              <w:rPr>
                <w:rFonts w:ascii="MS Gothic" w:eastAsia="MS Gothic" w:hAnsi="MS Gothic" w:cs="Times New Roman"/>
              </w:rPr>
            </w:pPr>
          </w:p>
        </w:tc>
        <w:tc>
          <w:tcPr>
            <w:tcW w:w="0" w:type="auto"/>
            <w:vMerge/>
            <w:tcBorders>
              <w:top w:val="single" w:sz="8" w:space="0" w:color="auto"/>
              <w:left w:val="nil"/>
              <w:bottom w:val="single" w:sz="8" w:space="0" w:color="auto"/>
              <w:right w:val="single" w:sz="8" w:space="0" w:color="auto"/>
            </w:tcBorders>
            <w:vAlign w:val="center"/>
            <w:hideMark/>
          </w:tcPr>
          <w:p w14:paraId="28CBD26A" w14:textId="77777777" w:rsidR="00C70EC5" w:rsidRDefault="00C70EC5">
            <w:pPr>
              <w:spacing w:after="0" w:line="276" w:lineRule="auto"/>
              <w:ind w:firstLine="0"/>
              <w:jc w:val="left"/>
              <w:rPr>
                <w:rFonts w:ascii="MS Gothic" w:eastAsia="MS Gothic" w:hAnsi="MS Gothic" w:cs="Times New Roman"/>
              </w:rPr>
            </w:pPr>
          </w:p>
        </w:tc>
        <w:tc>
          <w:tcPr>
            <w:tcW w:w="0" w:type="auto"/>
            <w:vMerge/>
            <w:tcBorders>
              <w:top w:val="single" w:sz="8" w:space="0" w:color="auto"/>
              <w:left w:val="nil"/>
              <w:bottom w:val="single" w:sz="8" w:space="0" w:color="auto"/>
              <w:right w:val="single" w:sz="8" w:space="0" w:color="auto"/>
            </w:tcBorders>
            <w:vAlign w:val="center"/>
            <w:hideMark/>
          </w:tcPr>
          <w:p w14:paraId="2E53FF3B" w14:textId="77777777" w:rsidR="00C70EC5" w:rsidRDefault="00C70EC5">
            <w:pPr>
              <w:spacing w:after="0" w:line="276" w:lineRule="auto"/>
              <w:ind w:firstLine="0"/>
              <w:jc w:val="left"/>
              <w:rPr>
                <w:rFonts w:ascii="MS Gothic" w:eastAsia="MS Gothic" w:hAnsi="MS Gothic" w:cs="Times New Roman"/>
              </w:rPr>
            </w:pPr>
          </w:p>
        </w:tc>
        <w:tc>
          <w:tcPr>
            <w:tcW w:w="0" w:type="auto"/>
            <w:vMerge/>
            <w:tcBorders>
              <w:top w:val="single" w:sz="8" w:space="0" w:color="auto"/>
              <w:left w:val="nil"/>
              <w:bottom w:val="single" w:sz="8" w:space="0" w:color="auto"/>
              <w:right w:val="single" w:sz="8" w:space="0" w:color="auto"/>
            </w:tcBorders>
            <w:vAlign w:val="center"/>
            <w:hideMark/>
          </w:tcPr>
          <w:p w14:paraId="6773424A" w14:textId="77777777" w:rsidR="00C70EC5" w:rsidRDefault="00C70EC5">
            <w:pPr>
              <w:spacing w:after="0" w:line="276" w:lineRule="auto"/>
              <w:ind w:firstLine="0"/>
              <w:jc w:val="left"/>
              <w:rPr>
                <w:rFonts w:ascii="MS Gothic" w:eastAsia="MS Gothic" w:hAnsi="MS Gothic" w:cs="Times New Roman"/>
              </w:rPr>
            </w:pPr>
          </w:p>
        </w:tc>
        <w:tc>
          <w:tcPr>
            <w:tcW w:w="1659"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C2F224" w14:textId="77777777" w:rsidR="00C70EC5" w:rsidRDefault="00C70EC5">
            <w:pPr>
              <w:pStyle w:val="Style25"/>
              <w:spacing w:before="19"/>
              <w:rPr>
                <w:rFonts w:hint="eastAsia"/>
              </w:rPr>
            </w:pPr>
            <w:r>
              <w:rPr>
                <w:rStyle w:val="FontStyle40"/>
                <w:rFonts w:ascii="Arial" w:hAnsi="Arial" w:cs="Arial"/>
                <w:b w:val="0"/>
                <w:bCs w:val="0"/>
                <w:sz w:val="20"/>
                <w:szCs w:val="20"/>
              </w:rPr>
              <w:t>Сумма страхового депозита, валюта</w:t>
            </w:r>
          </w:p>
        </w:tc>
        <w:tc>
          <w:tcPr>
            <w:tcW w:w="166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D02014" w14:textId="77777777" w:rsidR="00C70EC5" w:rsidRDefault="00C70EC5">
            <w:pPr>
              <w:pStyle w:val="Style25"/>
              <w:spacing w:before="19"/>
              <w:rPr>
                <w:rFonts w:hint="eastAsia"/>
              </w:rPr>
            </w:pPr>
            <w:r>
              <w:rPr>
                <w:rStyle w:val="FontStyle40"/>
                <w:rFonts w:ascii="Arial" w:hAnsi="Arial" w:cs="Arial"/>
                <w:b w:val="0"/>
                <w:bCs w:val="0"/>
                <w:sz w:val="20"/>
                <w:szCs w:val="20"/>
              </w:rPr>
              <w:t>Условия размещения страхового депозита</w:t>
            </w:r>
          </w:p>
        </w:tc>
        <w:tc>
          <w:tcPr>
            <w:tcW w:w="191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6B604E" w14:textId="77777777" w:rsidR="00C70EC5" w:rsidRDefault="00C70EC5">
            <w:pPr>
              <w:pStyle w:val="Style25"/>
              <w:spacing w:before="19"/>
              <w:rPr>
                <w:rFonts w:hint="eastAsia"/>
              </w:rPr>
            </w:pPr>
            <w:r>
              <w:rPr>
                <w:rStyle w:val="FontStyle40"/>
                <w:rFonts w:ascii="Arial" w:hAnsi="Arial" w:cs="Arial"/>
                <w:b w:val="0"/>
                <w:bCs w:val="0"/>
                <w:sz w:val="20"/>
                <w:szCs w:val="20"/>
              </w:rPr>
              <w:t xml:space="preserve">Предоплата </w:t>
            </w:r>
            <w:r>
              <w:rPr>
                <w:rStyle w:val="FontStyle40"/>
                <w:rFonts w:ascii="Arial" w:hAnsi="Arial" w:cs="Arial"/>
                <w:b w:val="0"/>
                <w:bCs w:val="0"/>
                <w:sz w:val="20"/>
                <w:szCs w:val="20"/>
              </w:rPr>
              <w:t>(авансовый/обеспечительный платеж)</w:t>
            </w:r>
          </w:p>
        </w:tc>
        <w:tc>
          <w:tcPr>
            <w:tcW w:w="0" w:type="auto"/>
            <w:vMerge/>
            <w:tcBorders>
              <w:top w:val="single" w:sz="8" w:space="0" w:color="auto"/>
              <w:left w:val="nil"/>
              <w:bottom w:val="single" w:sz="8" w:space="0" w:color="auto"/>
              <w:right w:val="single" w:sz="8" w:space="0" w:color="auto"/>
            </w:tcBorders>
            <w:vAlign w:val="center"/>
            <w:hideMark/>
          </w:tcPr>
          <w:p w14:paraId="015A5D4B" w14:textId="77777777" w:rsidR="00C70EC5" w:rsidRDefault="00C70EC5">
            <w:pPr>
              <w:spacing w:after="0" w:line="276" w:lineRule="auto"/>
              <w:ind w:firstLine="0"/>
              <w:jc w:val="left"/>
              <w:rPr>
                <w:rFonts w:ascii="MS Gothic" w:eastAsia="MS Gothic" w:hAnsi="MS Gothic" w:cs="Times New Roman"/>
              </w:rPr>
            </w:pPr>
          </w:p>
        </w:tc>
      </w:tr>
      <w:tr w:rsidR="00000000" w14:paraId="08CE11F3" w14:textId="77777777">
        <w:trPr>
          <w:cantSplit/>
          <w:trHeight w:val="117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778FE04" w14:textId="77777777" w:rsidR="00C70EC5" w:rsidRDefault="00C70EC5">
            <w:pPr>
              <w:spacing w:after="0" w:line="276" w:lineRule="auto"/>
              <w:ind w:firstLine="0"/>
              <w:jc w:val="left"/>
              <w:rPr>
                <w:rFonts w:ascii="MS Gothic" w:eastAsia="MS Gothic" w:hAnsi="MS Gothic" w:cs="Times New Roman"/>
              </w:rPr>
            </w:pPr>
          </w:p>
        </w:tc>
        <w:tc>
          <w:tcPr>
            <w:tcW w:w="0" w:type="auto"/>
            <w:vMerge/>
            <w:tcBorders>
              <w:top w:val="single" w:sz="8" w:space="0" w:color="auto"/>
              <w:left w:val="nil"/>
              <w:bottom w:val="single" w:sz="8" w:space="0" w:color="auto"/>
              <w:right w:val="single" w:sz="8" w:space="0" w:color="auto"/>
            </w:tcBorders>
            <w:vAlign w:val="center"/>
            <w:hideMark/>
          </w:tcPr>
          <w:p w14:paraId="67B59F1A" w14:textId="77777777" w:rsidR="00C70EC5" w:rsidRDefault="00C70EC5">
            <w:pPr>
              <w:spacing w:after="0" w:line="276" w:lineRule="auto"/>
              <w:ind w:firstLine="0"/>
              <w:jc w:val="left"/>
              <w:rPr>
                <w:rFonts w:ascii="MS Gothic" w:eastAsia="MS Gothic" w:hAnsi="MS Gothic" w:cs="Times New Roman"/>
              </w:rPr>
            </w:pPr>
          </w:p>
        </w:tc>
        <w:tc>
          <w:tcPr>
            <w:tcW w:w="0" w:type="auto"/>
            <w:vMerge/>
            <w:tcBorders>
              <w:top w:val="single" w:sz="8" w:space="0" w:color="auto"/>
              <w:left w:val="nil"/>
              <w:bottom w:val="single" w:sz="8" w:space="0" w:color="auto"/>
              <w:right w:val="single" w:sz="8" w:space="0" w:color="auto"/>
            </w:tcBorders>
            <w:vAlign w:val="center"/>
            <w:hideMark/>
          </w:tcPr>
          <w:p w14:paraId="3DA58A1D" w14:textId="77777777" w:rsidR="00C70EC5" w:rsidRDefault="00C70EC5">
            <w:pPr>
              <w:spacing w:after="0" w:line="276" w:lineRule="auto"/>
              <w:ind w:firstLine="0"/>
              <w:jc w:val="left"/>
              <w:rPr>
                <w:rFonts w:ascii="MS Gothic" w:eastAsia="MS Gothic" w:hAnsi="MS Gothic" w:cs="Times New Roman"/>
              </w:rPr>
            </w:pPr>
          </w:p>
        </w:tc>
        <w:tc>
          <w:tcPr>
            <w:tcW w:w="0" w:type="auto"/>
            <w:vMerge/>
            <w:tcBorders>
              <w:top w:val="single" w:sz="8" w:space="0" w:color="auto"/>
              <w:left w:val="nil"/>
              <w:bottom w:val="single" w:sz="8" w:space="0" w:color="auto"/>
              <w:right w:val="single" w:sz="8" w:space="0" w:color="auto"/>
            </w:tcBorders>
            <w:vAlign w:val="center"/>
            <w:hideMark/>
          </w:tcPr>
          <w:p w14:paraId="12B05EA4" w14:textId="77777777" w:rsidR="00C70EC5" w:rsidRDefault="00C70EC5">
            <w:pPr>
              <w:spacing w:after="0" w:line="276" w:lineRule="auto"/>
              <w:ind w:firstLine="0"/>
              <w:jc w:val="left"/>
              <w:rPr>
                <w:rFonts w:ascii="MS Gothic" w:eastAsia="MS Gothic" w:hAnsi="MS Gothic" w:cs="Times New Roman"/>
              </w:rPr>
            </w:pPr>
          </w:p>
        </w:tc>
        <w:tc>
          <w:tcPr>
            <w:tcW w:w="0" w:type="auto"/>
            <w:vMerge/>
            <w:tcBorders>
              <w:top w:val="single" w:sz="8" w:space="0" w:color="auto"/>
              <w:left w:val="nil"/>
              <w:bottom w:val="single" w:sz="8" w:space="0" w:color="auto"/>
              <w:right w:val="single" w:sz="8" w:space="0" w:color="auto"/>
            </w:tcBorders>
            <w:vAlign w:val="center"/>
            <w:hideMark/>
          </w:tcPr>
          <w:p w14:paraId="132B86D5" w14:textId="77777777" w:rsidR="00C70EC5" w:rsidRDefault="00C70EC5">
            <w:pPr>
              <w:spacing w:after="0" w:line="276" w:lineRule="auto"/>
              <w:ind w:firstLine="0"/>
              <w:jc w:val="left"/>
              <w:rPr>
                <w:rFonts w:ascii="MS Gothic" w:eastAsia="MS Gothic" w:hAnsi="MS Gothic" w:cs="Times New Roman"/>
              </w:rPr>
            </w:pPr>
          </w:p>
        </w:tc>
        <w:tc>
          <w:tcPr>
            <w:tcW w:w="0" w:type="auto"/>
            <w:vMerge/>
            <w:tcBorders>
              <w:top w:val="single" w:sz="8" w:space="0" w:color="auto"/>
              <w:left w:val="nil"/>
              <w:bottom w:val="single" w:sz="8" w:space="0" w:color="auto"/>
              <w:right w:val="single" w:sz="8" w:space="0" w:color="auto"/>
            </w:tcBorders>
            <w:vAlign w:val="center"/>
            <w:hideMark/>
          </w:tcPr>
          <w:p w14:paraId="07E05746" w14:textId="77777777" w:rsidR="00C70EC5" w:rsidRDefault="00C70EC5">
            <w:pPr>
              <w:spacing w:after="0" w:line="276" w:lineRule="auto"/>
              <w:ind w:firstLine="0"/>
              <w:jc w:val="left"/>
              <w:rPr>
                <w:rFonts w:ascii="MS Gothic" w:eastAsia="MS Gothic" w:hAnsi="MS Gothic" w:cs="Times New Roman"/>
              </w:rPr>
            </w:pPr>
          </w:p>
        </w:tc>
        <w:tc>
          <w:tcPr>
            <w:tcW w:w="8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80CD41" w14:textId="77777777" w:rsidR="00C70EC5" w:rsidRDefault="00C70EC5">
            <w:pPr>
              <w:pStyle w:val="Style25"/>
              <w:spacing w:before="19"/>
              <w:ind w:left="113" w:right="113"/>
              <w:rPr>
                <w:rFonts w:hint="eastAsia"/>
              </w:rPr>
            </w:pPr>
            <w:r>
              <w:rPr>
                <w:rStyle w:val="FontStyle40"/>
                <w:rFonts w:ascii="Arial" w:hAnsi="Arial" w:cs="Arial"/>
                <w:b w:val="0"/>
                <w:bCs w:val="0"/>
                <w:sz w:val="20"/>
                <w:szCs w:val="20"/>
              </w:rPr>
              <w:t>сумма</w:t>
            </w:r>
          </w:p>
        </w:tc>
        <w:tc>
          <w:tcPr>
            <w:tcW w:w="8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4F12A1" w14:textId="77777777" w:rsidR="00C70EC5" w:rsidRDefault="00C70EC5">
            <w:pPr>
              <w:pStyle w:val="Style25"/>
              <w:spacing w:before="19"/>
              <w:ind w:left="113" w:right="113"/>
              <w:rPr>
                <w:rFonts w:hint="eastAsia"/>
              </w:rPr>
            </w:pPr>
            <w:r>
              <w:rPr>
                <w:rStyle w:val="FontStyle40"/>
                <w:rFonts w:ascii="Arial" w:hAnsi="Arial" w:cs="Arial"/>
                <w:b w:val="0"/>
                <w:bCs w:val="0"/>
                <w:sz w:val="20"/>
                <w:szCs w:val="20"/>
              </w:rPr>
              <w:t>валюта</w:t>
            </w:r>
          </w:p>
        </w:tc>
        <w:tc>
          <w:tcPr>
            <w:tcW w:w="8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8A6010" w14:textId="77777777" w:rsidR="00C70EC5" w:rsidRDefault="00C70EC5">
            <w:pPr>
              <w:pStyle w:val="Style25"/>
              <w:spacing w:before="19"/>
              <w:ind w:left="113" w:right="113"/>
              <w:rPr>
                <w:rFonts w:hint="eastAsia"/>
              </w:rPr>
            </w:pPr>
            <w:r>
              <w:rPr>
                <w:rStyle w:val="FontStyle40"/>
                <w:rFonts w:ascii="Arial" w:hAnsi="Arial" w:cs="Arial"/>
                <w:b w:val="0"/>
                <w:bCs w:val="0"/>
                <w:sz w:val="20"/>
                <w:szCs w:val="20"/>
              </w:rPr>
              <w:t>%ставка</w:t>
            </w:r>
          </w:p>
        </w:tc>
        <w:tc>
          <w:tcPr>
            <w:tcW w:w="8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941AC7" w14:textId="77777777" w:rsidR="00C70EC5" w:rsidRDefault="00C70EC5">
            <w:pPr>
              <w:pStyle w:val="Style25"/>
              <w:spacing w:before="19"/>
              <w:ind w:left="113" w:right="113"/>
              <w:rPr>
                <w:rFonts w:hint="eastAsia"/>
              </w:rPr>
            </w:pPr>
            <w:r>
              <w:rPr>
                <w:rStyle w:val="FontStyle40"/>
                <w:rFonts w:ascii="Arial" w:hAnsi="Arial" w:cs="Arial"/>
                <w:b w:val="0"/>
                <w:bCs w:val="0"/>
                <w:sz w:val="20"/>
                <w:szCs w:val="20"/>
              </w:rPr>
              <w:t>срочность</w:t>
            </w:r>
          </w:p>
        </w:tc>
        <w:tc>
          <w:tcPr>
            <w:tcW w:w="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D443C0" w14:textId="77777777" w:rsidR="00C70EC5" w:rsidRDefault="00C70EC5">
            <w:pPr>
              <w:pStyle w:val="Style25"/>
              <w:spacing w:before="19"/>
              <w:ind w:left="113" w:right="113"/>
              <w:rPr>
                <w:rFonts w:hint="eastAsia"/>
              </w:rPr>
            </w:pPr>
            <w:r>
              <w:rPr>
                <w:rStyle w:val="FontStyle40"/>
                <w:rFonts w:ascii="Arial" w:hAnsi="Arial" w:cs="Arial"/>
                <w:b w:val="0"/>
                <w:bCs w:val="0"/>
                <w:sz w:val="20"/>
                <w:szCs w:val="20"/>
              </w:rPr>
              <w:t>сумма</w:t>
            </w:r>
          </w:p>
        </w:tc>
        <w:tc>
          <w:tcPr>
            <w:tcW w:w="9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37CF2C" w14:textId="77777777" w:rsidR="00C70EC5" w:rsidRDefault="00C70EC5">
            <w:pPr>
              <w:pStyle w:val="Style25"/>
              <w:spacing w:before="19"/>
              <w:ind w:left="113" w:right="113"/>
              <w:rPr>
                <w:rFonts w:hint="eastAsia"/>
              </w:rPr>
            </w:pPr>
            <w:r>
              <w:rPr>
                <w:rStyle w:val="FontStyle40"/>
                <w:rFonts w:ascii="Arial" w:hAnsi="Arial" w:cs="Arial"/>
                <w:b w:val="0"/>
                <w:bCs w:val="0"/>
                <w:sz w:val="20"/>
                <w:szCs w:val="20"/>
              </w:rPr>
              <w:t>валюта</w:t>
            </w:r>
          </w:p>
        </w:tc>
        <w:tc>
          <w:tcPr>
            <w:tcW w:w="0" w:type="auto"/>
            <w:vMerge/>
            <w:tcBorders>
              <w:top w:val="single" w:sz="8" w:space="0" w:color="auto"/>
              <w:left w:val="nil"/>
              <w:bottom w:val="single" w:sz="8" w:space="0" w:color="auto"/>
              <w:right w:val="single" w:sz="8" w:space="0" w:color="auto"/>
            </w:tcBorders>
            <w:vAlign w:val="center"/>
            <w:hideMark/>
          </w:tcPr>
          <w:p w14:paraId="7913D48D" w14:textId="77777777" w:rsidR="00C70EC5" w:rsidRDefault="00C70EC5">
            <w:pPr>
              <w:spacing w:after="0" w:line="276" w:lineRule="auto"/>
              <w:ind w:firstLine="0"/>
              <w:jc w:val="left"/>
              <w:rPr>
                <w:rFonts w:ascii="MS Gothic" w:eastAsia="MS Gothic" w:hAnsi="MS Gothic" w:cs="Times New Roman"/>
              </w:rPr>
            </w:pPr>
          </w:p>
        </w:tc>
      </w:tr>
      <w:tr w:rsidR="00000000" w14:paraId="7954A2F9" w14:textId="77777777">
        <w:trPr>
          <w:jc w:val="center"/>
        </w:trPr>
        <w:tc>
          <w:tcPr>
            <w:tcW w:w="16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9339F8" w14:textId="77777777" w:rsidR="00C70EC5" w:rsidRDefault="00C70EC5">
            <w:pPr>
              <w:pStyle w:val="Style25"/>
              <w:spacing w:before="19"/>
              <w:jc w:val="left"/>
              <w:rPr>
                <w:rFonts w:hint="eastAsia"/>
              </w:rPr>
            </w:pPr>
            <w:r>
              <w:rPr>
                <w:rFonts w:hint="eastAsia"/>
              </w:rPr>
              <w:t> </w:t>
            </w:r>
          </w:p>
        </w:tc>
        <w:tc>
          <w:tcPr>
            <w:tcW w:w="16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23BCC0" w14:textId="77777777" w:rsidR="00C70EC5" w:rsidRDefault="00C70EC5">
            <w:pPr>
              <w:pStyle w:val="Style25"/>
              <w:spacing w:before="19"/>
              <w:rPr>
                <w:rFonts w:hint="eastAsia"/>
              </w:rPr>
            </w:pPr>
            <w:r>
              <w:rPr>
                <w:rFonts w:hint="eastAsia"/>
              </w:rPr>
              <w:t> </w:t>
            </w:r>
          </w:p>
        </w:tc>
        <w:tc>
          <w:tcPr>
            <w:tcW w:w="16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0D13E7" w14:textId="77777777" w:rsidR="00C70EC5" w:rsidRDefault="00C70EC5">
            <w:pPr>
              <w:pStyle w:val="Style25"/>
              <w:spacing w:before="19"/>
              <w:rPr>
                <w:rFonts w:hint="eastAsia"/>
              </w:rPr>
            </w:pPr>
            <w:r>
              <w:rPr>
                <w:rFonts w:hint="eastAsia"/>
              </w:rPr>
              <w:t> </w:t>
            </w:r>
          </w:p>
        </w:tc>
        <w:tc>
          <w:tcPr>
            <w:tcW w:w="16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C14C07" w14:textId="77777777" w:rsidR="00C70EC5" w:rsidRDefault="00C70EC5">
            <w:pPr>
              <w:pStyle w:val="Style25"/>
              <w:spacing w:before="19"/>
              <w:rPr>
                <w:rFonts w:hint="eastAsia"/>
              </w:rPr>
            </w:pPr>
            <w:r>
              <w:rPr>
                <w:rFonts w:hint="eastAsia"/>
              </w:rPr>
              <w:t> </w:t>
            </w:r>
          </w:p>
          <w:p w14:paraId="038E6A7C" w14:textId="77777777" w:rsidR="00C70EC5" w:rsidRDefault="00C70EC5">
            <w:pPr>
              <w:pStyle w:val="Style25"/>
              <w:spacing w:before="19"/>
              <w:rPr>
                <w:rFonts w:hint="eastAsia"/>
              </w:rPr>
            </w:pPr>
            <w:r>
              <w:rPr>
                <w:rFonts w:hint="eastAsia"/>
              </w:rPr>
              <w:t> </w:t>
            </w:r>
          </w:p>
        </w:tc>
        <w:tc>
          <w:tcPr>
            <w:tcW w:w="165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97C488" w14:textId="77777777" w:rsidR="00C70EC5" w:rsidRDefault="00C70EC5">
            <w:pPr>
              <w:pStyle w:val="Style25"/>
              <w:spacing w:before="19"/>
              <w:rPr>
                <w:rFonts w:hint="eastAsia"/>
              </w:rPr>
            </w:pPr>
            <w:r>
              <w:rPr>
                <w:rFonts w:hint="eastAsia"/>
              </w:rPr>
              <w:t> </w:t>
            </w:r>
          </w:p>
        </w:tc>
        <w:tc>
          <w:tcPr>
            <w:tcW w:w="16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5B52B3" w14:textId="77777777" w:rsidR="00C70EC5" w:rsidRDefault="00C70EC5">
            <w:pPr>
              <w:pStyle w:val="Style25"/>
              <w:spacing w:before="19"/>
              <w:rPr>
                <w:rFonts w:hint="eastAsia"/>
              </w:rPr>
            </w:pPr>
            <w:r>
              <w:rPr>
                <w:rFonts w:hint="eastAsia"/>
              </w:rPr>
              <w:t> </w:t>
            </w:r>
          </w:p>
        </w:tc>
        <w:tc>
          <w:tcPr>
            <w:tcW w:w="1659"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8066D5" w14:textId="77777777" w:rsidR="00C70EC5" w:rsidRDefault="00C70EC5">
            <w:pPr>
              <w:pStyle w:val="Style25"/>
              <w:spacing w:before="19"/>
              <w:rPr>
                <w:rFonts w:hint="eastAsia"/>
              </w:rPr>
            </w:pPr>
            <w:r>
              <w:rPr>
                <w:rFonts w:hint="eastAsia"/>
              </w:rPr>
              <w:t> </w:t>
            </w:r>
          </w:p>
        </w:tc>
        <w:tc>
          <w:tcPr>
            <w:tcW w:w="166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F5CFFF" w14:textId="77777777" w:rsidR="00C70EC5" w:rsidRDefault="00C70EC5">
            <w:pPr>
              <w:pStyle w:val="Style25"/>
              <w:spacing w:before="19"/>
              <w:rPr>
                <w:rFonts w:hint="eastAsia"/>
              </w:rPr>
            </w:pPr>
            <w:r>
              <w:rPr>
                <w:rFonts w:hint="eastAsia"/>
              </w:rPr>
              <w:t> </w:t>
            </w:r>
          </w:p>
        </w:tc>
        <w:tc>
          <w:tcPr>
            <w:tcW w:w="191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394294" w14:textId="77777777" w:rsidR="00C70EC5" w:rsidRDefault="00C70EC5">
            <w:pPr>
              <w:pStyle w:val="Style25"/>
              <w:spacing w:before="19"/>
              <w:rPr>
                <w:rFonts w:hint="eastAsia"/>
              </w:rPr>
            </w:pPr>
            <w:r>
              <w:rPr>
                <w:rFonts w:hint="eastAsia"/>
              </w:rPr>
              <w:t> </w:t>
            </w:r>
          </w:p>
        </w:tc>
        <w:tc>
          <w:tcPr>
            <w:tcW w:w="16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BBF28B" w14:textId="77777777" w:rsidR="00C70EC5" w:rsidRDefault="00C70EC5">
            <w:pPr>
              <w:pStyle w:val="Style25"/>
              <w:spacing w:before="19"/>
              <w:rPr>
                <w:rFonts w:hint="eastAsia"/>
              </w:rPr>
            </w:pPr>
            <w:r>
              <w:rPr>
                <w:rFonts w:hint="eastAsia"/>
              </w:rPr>
              <w:t> </w:t>
            </w:r>
          </w:p>
        </w:tc>
      </w:tr>
      <w:tr w:rsidR="00000000" w14:paraId="2776ED1C" w14:textId="77777777">
        <w:trPr>
          <w:jc w:val="center"/>
        </w:trPr>
        <w:tc>
          <w:tcPr>
            <w:tcW w:w="16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FD1A8D" w14:textId="77777777" w:rsidR="00C70EC5" w:rsidRDefault="00C70EC5">
            <w:pPr>
              <w:pStyle w:val="Style25"/>
              <w:spacing w:before="19"/>
              <w:jc w:val="left"/>
              <w:rPr>
                <w:rFonts w:hint="eastAsia"/>
              </w:rPr>
            </w:pPr>
            <w:r>
              <w:rPr>
                <w:rFonts w:hint="eastAsia"/>
              </w:rPr>
              <w:t> </w:t>
            </w:r>
          </w:p>
        </w:tc>
        <w:tc>
          <w:tcPr>
            <w:tcW w:w="16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F062E0" w14:textId="77777777" w:rsidR="00C70EC5" w:rsidRDefault="00C70EC5">
            <w:pPr>
              <w:pStyle w:val="Style25"/>
              <w:spacing w:before="19"/>
              <w:rPr>
                <w:rFonts w:hint="eastAsia"/>
              </w:rPr>
            </w:pPr>
            <w:r>
              <w:rPr>
                <w:rFonts w:hint="eastAsia"/>
              </w:rPr>
              <w:t> </w:t>
            </w:r>
          </w:p>
        </w:tc>
        <w:tc>
          <w:tcPr>
            <w:tcW w:w="16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0DE213" w14:textId="77777777" w:rsidR="00C70EC5" w:rsidRDefault="00C70EC5">
            <w:pPr>
              <w:pStyle w:val="Style25"/>
              <w:spacing w:before="19"/>
              <w:rPr>
                <w:rFonts w:hint="eastAsia"/>
              </w:rPr>
            </w:pPr>
            <w:r>
              <w:rPr>
                <w:rFonts w:hint="eastAsia"/>
              </w:rPr>
              <w:t> </w:t>
            </w:r>
          </w:p>
        </w:tc>
        <w:tc>
          <w:tcPr>
            <w:tcW w:w="16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A6BD4F" w14:textId="77777777" w:rsidR="00C70EC5" w:rsidRDefault="00C70EC5">
            <w:pPr>
              <w:pStyle w:val="Style25"/>
              <w:spacing w:before="19"/>
              <w:rPr>
                <w:rFonts w:hint="eastAsia"/>
              </w:rPr>
            </w:pPr>
            <w:r>
              <w:rPr>
                <w:rFonts w:hint="eastAsia"/>
              </w:rPr>
              <w:t> </w:t>
            </w:r>
          </w:p>
        </w:tc>
        <w:tc>
          <w:tcPr>
            <w:tcW w:w="165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B94156" w14:textId="77777777" w:rsidR="00C70EC5" w:rsidRDefault="00C70EC5">
            <w:pPr>
              <w:pStyle w:val="Style25"/>
              <w:spacing w:before="19"/>
              <w:rPr>
                <w:rFonts w:hint="eastAsia"/>
              </w:rPr>
            </w:pPr>
            <w:r>
              <w:rPr>
                <w:rFonts w:hint="eastAsia"/>
              </w:rPr>
              <w:t> </w:t>
            </w:r>
          </w:p>
        </w:tc>
        <w:tc>
          <w:tcPr>
            <w:tcW w:w="16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0C5E94" w14:textId="77777777" w:rsidR="00C70EC5" w:rsidRDefault="00C70EC5">
            <w:pPr>
              <w:pStyle w:val="Style25"/>
              <w:spacing w:before="19"/>
              <w:rPr>
                <w:rFonts w:hint="eastAsia"/>
              </w:rPr>
            </w:pPr>
            <w:r>
              <w:rPr>
                <w:rFonts w:hint="eastAsia"/>
              </w:rPr>
              <w:t> </w:t>
            </w:r>
          </w:p>
        </w:tc>
        <w:tc>
          <w:tcPr>
            <w:tcW w:w="1659"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95218A" w14:textId="77777777" w:rsidR="00C70EC5" w:rsidRDefault="00C70EC5">
            <w:pPr>
              <w:pStyle w:val="Style25"/>
              <w:spacing w:before="19"/>
              <w:rPr>
                <w:rFonts w:hint="eastAsia"/>
              </w:rPr>
            </w:pPr>
            <w:r>
              <w:rPr>
                <w:rFonts w:hint="eastAsia"/>
              </w:rPr>
              <w:t> </w:t>
            </w:r>
          </w:p>
        </w:tc>
        <w:tc>
          <w:tcPr>
            <w:tcW w:w="166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3499CE" w14:textId="77777777" w:rsidR="00C70EC5" w:rsidRDefault="00C70EC5">
            <w:pPr>
              <w:pStyle w:val="Style25"/>
              <w:spacing w:before="19"/>
              <w:rPr>
                <w:rFonts w:hint="eastAsia"/>
              </w:rPr>
            </w:pPr>
            <w:r>
              <w:rPr>
                <w:rFonts w:hint="eastAsia"/>
              </w:rPr>
              <w:t> </w:t>
            </w:r>
          </w:p>
        </w:tc>
        <w:tc>
          <w:tcPr>
            <w:tcW w:w="191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FD323F" w14:textId="77777777" w:rsidR="00C70EC5" w:rsidRDefault="00C70EC5">
            <w:pPr>
              <w:pStyle w:val="Style25"/>
              <w:spacing w:before="19"/>
              <w:rPr>
                <w:rFonts w:hint="eastAsia"/>
              </w:rPr>
            </w:pPr>
            <w:r>
              <w:rPr>
                <w:rFonts w:hint="eastAsia"/>
              </w:rPr>
              <w:t> </w:t>
            </w:r>
          </w:p>
        </w:tc>
        <w:tc>
          <w:tcPr>
            <w:tcW w:w="16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7DA6DB" w14:textId="77777777" w:rsidR="00C70EC5" w:rsidRDefault="00C70EC5">
            <w:pPr>
              <w:pStyle w:val="Style25"/>
              <w:spacing w:before="19"/>
              <w:rPr>
                <w:rFonts w:hint="eastAsia"/>
              </w:rPr>
            </w:pPr>
            <w:r>
              <w:rPr>
                <w:rFonts w:hint="eastAsia"/>
              </w:rPr>
              <w:t> </w:t>
            </w:r>
          </w:p>
        </w:tc>
      </w:tr>
      <w:tr w:rsidR="00000000" w14:paraId="2793F910" w14:textId="77777777">
        <w:trPr>
          <w:jc w:val="center"/>
        </w:trPr>
        <w:tc>
          <w:tcPr>
            <w:tcW w:w="16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7324F0" w14:textId="77777777" w:rsidR="00C70EC5" w:rsidRDefault="00C70EC5">
            <w:pPr>
              <w:pStyle w:val="Style25"/>
              <w:spacing w:before="19"/>
              <w:jc w:val="left"/>
              <w:rPr>
                <w:rFonts w:hint="eastAsia"/>
              </w:rPr>
            </w:pPr>
            <w:r>
              <w:rPr>
                <w:rFonts w:hint="eastAsia"/>
              </w:rPr>
              <w:t> </w:t>
            </w:r>
          </w:p>
        </w:tc>
        <w:tc>
          <w:tcPr>
            <w:tcW w:w="16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5CD5E5" w14:textId="77777777" w:rsidR="00C70EC5" w:rsidRDefault="00C70EC5">
            <w:pPr>
              <w:pStyle w:val="Style25"/>
              <w:spacing w:before="19"/>
              <w:rPr>
                <w:rFonts w:hint="eastAsia"/>
              </w:rPr>
            </w:pPr>
            <w:r>
              <w:rPr>
                <w:rFonts w:hint="eastAsia"/>
              </w:rPr>
              <w:t> </w:t>
            </w:r>
          </w:p>
        </w:tc>
        <w:tc>
          <w:tcPr>
            <w:tcW w:w="16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866957" w14:textId="77777777" w:rsidR="00C70EC5" w:rsidRDefault="00C70EC5">
            <w:pPr>
              <w:pStyle w:val="Style25"/>
              <w:spacing w:before="19"/>
              <w:rPr>
                <w:rFonts w:hint="eastAsia"/>
              </w:rPr>
            </w:pPr>
            <w:r>
              <w:rPr>
                <w:rFonts w:hint="eastAsia"/>
              </w:rPr>
              <w:t> </w:t>
            </w:r>
          </w:p>
        </w:tc>
        <w:tc>
          <w:tcPr>
            <w:tcW w:w="16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83FC74" w14:textId="77777777" w:rsidR="00C70EC5" w:rsidRDefault="00C70EC5">
            <w:pPr>
              <w:pStyle w:val="Style25"/>
              <w:spacing w:before="19"/>
              <w:rPr>
                <w:rFonts w:hint="eastAsia"/>
              </w:rPr>
            </w:pPr>
            <w:r>
              <w:rPr>
                <w:rFonts w:hint="eastAsia"/>
              </w:rPr>
              <w:t> </w:t>
            </w:r>
          </w:p>
        </w:tc>
        <w:tc>
          <w:tcPr>
            <w:tcW w:w="165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78E3C7" w14:textId="77777777" w:rsidR="00C70EC5" w:rsidRDefault="00C70EC5">
            <w:pPr>
              <w:pStyle w:val="Style25"/>
              <w:spacing w:before="19"/>
              <w:rPr>
                <w:rFonts w:hint="eastAsia"/>
              </w:rPr>
            </w:pPr>
            <w:r>
              <w:rPr>
                <w:rFonts w:hint="eastAsia"/>
              </w:rPr>
              <w:t> </w:t>
            </w:r>
          </w:p>
        </w:tc>
        <w:tc>
          <w:tcPr>
            <w:tcW w:w="16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C729E0" w14:textId="77777777" w:rsidR="00C70EC5" w:rsidRDefault="00C70EC5">
            <w:pPr>
              <w:pStyle w:val="Style25"/>
              <w:spacing w:before="19"/>
              <w:rPr>
                <w:rFonts w:hint="eastAsia"/>
              </w:rPr>
            </w:pPr>
            <w:r>
              <w:rPr>
                <w:rFonts w:hint="eastAsia"/>
              </w:rPr>
              <w:t> </w:t>
            </w:r>
          </w:p>
        </w:tc>
        <w:tc>
          <w:tcPr>
            <w:tcW w:w="1659"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9E5562" w14:textId="77777777" w:rsidR="00C70EC5" w:rsidRDefault="00C70EC5">
            <w:pPr>
              <w:pStyle w:val="Style25"/>
              <w:spacing w:before="19"/>
              <w:rPr>
                <w:rFonts w:hint="eastAsia"/>
              </w:rPr>
            </w:pPr>
            <w:r>
              <w:rPr>
                <w:rFonts w:hint="eastAsia"/>
              </w:rPr>
              <w:t> </w:t>
            </w:r>
          </w:p>
        </w:tc>
        <w:tc>
          <w:tcPr>
            <w:tcW w:w="166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3E76BB" w14:textId="77777777" w:rsidR="00C70EC5" w:rsidRDefault="00C70EC5">
            <w:pPr>
              <w:pStyle w:val="Style25"/>
              <w:spacing w:before="19"/>
              <w:rPr>
                <w:rFonts w:hint="eastAsia"/>
              </w:rPr>
            </w:pPr>
            <w:r>
              <w:rPr>
                <w:rFonts w:hint="eastAsia"/>
              </w:rPr>
              <w:t> </w:t>
            </w:r>
          </w:p>
        </w:tc>
        <w:tc>
          <w:tcPr>
            <w:tcW w:w="191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5DAD84" w14:textId="77777777" w:rsidR="00C70EC5" w:rsidRDefault="00C70EC5">
            <w:pPr>
              <w:pStyle w:val="Style25"/>
              <w:spacing w:before="19"/>
              <w:rPr>
                <w:rFonts w:hint="eastAsia"/>
              </w:rPr>
            </w:pPr>
            <w:r>
              <w:rPr>
                <w:rFonts w:hint="eastAsia"/>
              </w:rPr>
              <w:t> </w:t>
            </w:r>
          </w:p>
        </w:tc>
        <w:tc>
          <w:tcPr>
            <w:tcW w:w="16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D662AA" w14:textId="77777777" w:rsidR="00C70EC5" w:rsidRDefault="00C70EC5">
            <w:pPr>
              <w:pStyle w:val="Style25"/>
              <w:spacing w:before="19"/>
              <w:rPr>
                <w:rFonts w:hint="eastAsia"/>
              </w:rPr>
            </w:pPr>
            <w:r>
              <w:rPr>
                <w:rFonts w:hint="eastAsia"/>
              </w:rPr>
              <w:t> </w:t>
            </w:r>
          </w:p>
        </w:tc>
      </w:tr>
      <w:tr w:rsidR="00000000" w14:paraId="2BB96E62" w14:textId="77777777">
        <w:trPr>
          <w:jc w:val="center"/>
        </w:trPr>
        <w:tc>
          <w:tcPr>
            <w:tcW w:w="16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C6A477" w14:textId="77777777" w:rsidR="00C70EC5" w:rsidRDefault="00C70EC5">
            <w:pPr>
              <w:pStyle w:val="Style25"/>
              <w:spacing w:before="19"/>
              <w:jc w:val="left"/>
              <w:rPr>
                <w:rFonts w:hint="eastAsia"/>
              </w:rPr>
            </w:pPr>
            <w:r>
              <w:rPr>
                <w:rFonts w:hint="eastAsia"/>
              </w:rPr>
              <w:t> </w:t>
            </w:r>
          </w:p>
        </w:tc>
        <w:tc>
          <w:tcPr>
            <w:tcW w:w="16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A05846" w14:textId="77777777" w:rsidR="00C70EC5" w:rsidRDefault="00C70EC5">
            <w:pPr>
              <w:pStyle w:val="Style25"/>
              <w:spacing w:before="19"/>
              <w:rPr>
                <w:rFonts w:hint="eastAsia"/>
              </w:rPr>
            </w:pPr>
            <w:r>
              <w:rPr>
                <w:rFonts w:hint="eastAsia"/>
              </w:rPr>
              <w:t> </w:t>
            </w:r>
          </w:p>
        </w:tc>
        <w:tc>
          <w:tcPr>
            <w:tcW w:w="16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6756C3" w14:textId="77777777" w:rsidR="00C70EC5" w:rsidRDefault="00C70EC5">
            <w:pPr>
              <w:pStyle w:val="Style25"/>
              <w:spacing w:before="19"/>
              <w:rPr>
                <w:rFonts w:hint="eastAsia"/>
              </w:rPr>
            </w:pPr>
            <w:r>
              <w:rPr>
                <w:rFonts w:hint="eastAsia"/>
              </w:rPr>
              <w:t> </w:t>
            </w:r>
          </w:p>
        </w:tc>
        <w:tc>
          <w:tcPr>
            <w:tcW w:w="16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784ECE" w14:textId="77777777" w:rsidR="00C70EC5" w:rsidRDefault="00C70EC5">
            <w:pPr>
              <w:pStyle w:val="Style25"/>
              <w:spacing w:before="19"/>
              <w:rPr>
                <w:rFonts w:hint="eastAsia"/>
              </w:rPr>
            </w:pPr>
            <w:r>
              <w:rPr>
                <w:rFonts w:hint="eastAsia"/>
              </w:rPr>
              <w:t> </w:t>
            </w:r>
          </w:p>
        </w:tc>
        <w:tc>
          <w:tcPr>
            <w:tcW w:w="165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74181E" w14:textId="77777777" w:rsidR="00C70EC5" w:rsidRDefault="00C70EC5">
            <w:pPr>
              <w:pStyle w:val="Style25"/>
              <w:spacing w:before="19"/>
              <w:rPr>
                <w:rFonts w:hint="eastAsia"/>
              </w:rPr>
            </w:pPr>
            <w:r>
              <w:rPr>
                <w:rFonts w:hint="eastAsia"/>
              </w:rPr>
              <w:t> </w:t>
            </w:r>
          </w:p>
        </w:tc>
        <w:tc>
          <w:tcPr>
            <w:tcW w:w="16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CE043A" w14:textId="77777777" w:rsidR="00C70EC5" w:rsidRDefault="00C70EC5">
            <w:pPr>
              <w:pStyle w:val="Style25"/>
              <w:spacing w:before="19"/>
              <w:rPr>
                <w:rFonts w:hint="eastAsia"/>
              </w:rPr>
            </w:pPr>
            <w:r>
              <w:rPr>
                <w:rFonts w:hint="eastAsia"/>
              </w:rPr>
              <w:t> </w:t>
            </w:r>
          </w:p>
        </w:tc>
        <w:tc>
          <w:tcPr>
            <w:tcW w:w="1659"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84E9ED" w14:textId="77777777" w:rsidR="00C70EC5" w:rsidRDefault="00C70EC5">
            <w:pPr>
              <w:pStyle w:val="Style25"/>
              <w:spacing w:before="19"/>
              <w:rPr>
                <w:rFonts w:hint="eastAsia"/>
              </w:rPr>
            </w:pPr>
            <w:r>
              <w:rPr>
                <w:rFonts w:hint="eastAsia"/>
              </w:rPr>
              <w:t> </w:t>
            </w:r>
          </w:p>
        </w:tc>
        <w:tc>
          <w:tcPr>
            <w:tcW w:w="166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0F2687" w14:textId="77777777" w:rsidR="00C70EC5" w:rsidRDefault="00C70EC5">
            <w:pPr>
              <w:pStyle w:val="Style25"/>
              <w:spacing w:before="19"/>
              <w:rPr>
                <w:rFonts w:hint="eastAsia"/>
              </w:rPr>
            </w:pPr>
            <w:r>
              <w:rPr>
                <w:rFonts w:hint="eastAsia"/>
              </w:rPr>
              <w:t> </w:t>
            </w:r>
          </w:p>
        </w:tc>
        <w:tc>
          <w:tcPr>
            <w:tcW w:w="191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45E595" w14:textId="77777777" w:rsidR="00C70EC5" w:rsidRDefault="00C70EC5">
            <w:pPr>
              <w:pStyle w:val="Style25"/>
              <w:spacing w:before="19"/>
              <w:rPr>
                <w:rFonts w:hint="eastAsia"/>
              </w:rPr>
            </w:pPr>
            <w:r>
              <w:rPr>
                <w:rFonts w:hint="eastAsia"/>
              </w:rPr>
              <w:t> </w:t>
            </w:r>
          </w:p>
        </w:tc>
        <w:tc>
          <w:tcPr>
            <w:tcW w:w="16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85451D" w14:textId="77777777" w:rsidR="00C70EC5" w:rsidRDefault="00C70EC5">
            <w:pPr>
              <w:pStyle w:val="Style25"/>
              <w:spacing w:before="19"/>
              <w:rPr>
                <w:rFonts w:hint="eastAsia"/>
              </w:rPr>
            </w:pPr>
            <w:r>
              <w:rPr>
                <w:rFonts w:hint="eastAsia"/>
              </w:rPr>
              <w:t> </w:t>
            </w:r>
          </w:p>
        </w:tc>
      </w:tr>
      <w:tr w:rsidR="00000000" w14:paraId="5257B120" w14:textId="77777777">
        <w:trPr>
          <w:jc w:val="center"/>
        </w:trPr>
        <w:tc>
          <w:tcPr>
            <w:tcW w:w="16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CC8165" w14:textId="77777777" w:rsidR="00C70EC5" w:rsidRDefault="00C70EC5">
            <w:pPr>
              <w:pStyle w:val="Style25"/>
              <w:spacing w:before="19"/>
              <w:jc w:val="left"/>
              <w:rPr>
                <w:rFonts w:hint="eastAsia"/>
              </w:rPr>
            </w:pPr>
            <w:r>
              <w:rPr>
                <w:rFonts w:hint="eastAsia"/>
              </w:rPr>
              <w:t> </w:t>
            </w:r>
          </w:p>
        </w:tc>
        <w:tc>
          <w:tcPr>
            <w:tcW w:w="16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8CA05C" w14:textId="77777777" w:rsidR="00C70EC5" w:rsidRDefault="00C70EC5">
            <w:pPr>
              <w:pStyle w:val="Style25"/>
              <w:spacing w:before="19"/>
              <w:rPr>
                <w:rFonts w:hint="eastAsia"/>
              </w:rPr>
            </w:pPr>
            <w:r>
              <w:rPr>
                <w:rFonts w:hint="eastAsia"/>
              </w:rPr>
              <w:t> </w:t>
            </w:r>
          </w:p>
        </w:tc>
        <w:tc>
          <w:tcPr>
            <w:tcW w:w="16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F0CAC1" w14:textId="77777777" w:rsidR="00C70EC5" w:rsidRDefault="00C70EC5">
            <w:pPr>
              <w:pStyle w:val="Style25"/>
              <w:spacing w:before="19"/>
              <w:rPr>
                <w:rFonts w:hint="eastAsia"/>
              </w:rPr>
            </w:pPr>
            <w:r>
              <w:rPr>
                <w:rFonts w:hint="eastAsia"/>
              </w:rPr>
              <w:t> </w:t>
            </w:r>
          </w:p>
        </w:tc>
        <w:tc>
          <w:tcPr>
            <w:tcW w:w="16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9F2614" w14:textId="77777777" w:rsidR="00C70EC5" w:rsidRDefault="00C70EC5">
            <w:pPr>
              <w:pStyle w:val="Style25"/>
              <w:spacing w:before="19"/>
              <w:rPr>
                <w:rFonts w:hint="eastAsia"/>
              </w:rPr>
            </w:pPr>
            <w:r>
              <w:rPr>
                <w:rFonts w:hint="eastAsia"/>
              </w:rPr>
              <w:t> </w:t>
            </w:r>
          </w:p>
        </w:tc>
        <w:tc>
          <w:tcPr>
            <w:tcW w:w="165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84B08B" w14:textId="77777777" w:rsidR="00C70EC5" w:rsidRDefault="00C70EC5">
            <w:pPr>
              <w:pStyle w:val="Style25"/>
              <w:spacing w:before="19"/>
              <w:rPr>
                <w:rFonts w:hint="eastAsia"/>
              </w:rPr>
            </w:pPr>
            <w:r>
              <w:rPr>
                <w:rFonts w:hint="eastAsia"/>
              </w:rPr>
              <w:t> </w:t>
            </w:r>
          </w:p>
        </w:tc>
        <w:tc>
          <w:tcPr>
            <w:tcW w:w="16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75B830" w14:textId="77777777" w:rsidR="00C70EC5" w:rsidRDefault="00C70EC5">
            <w:pPr>
              <w:pStyle w:val="Style25"/>
              <w:spacing w:before="19"/>
              <w:rPr>
                <w:rFonts w:hint="eastAsia"/>
              </w:rPr>
            </w:pPr>
            <w:r>
              <w:rPr>
                <w:rFonts w:hint="eastAsia"/>
              </w:rPr>
              <w:t> </w:t>
            </w:r>
          </w:p>
        </w:tc>
        <w:tc>
          <w:tcPr>
            <w:tcW w:w="1659"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27CE4B" w14:textId="77777777" w:rsidR="00C70EC5" w:rsidRDefault="00C70EC5">
            <w:pPr>
              <w:pStyle w:val="Style25"/>
              <w:spacing w:before="19"/>
              <w:rPr>
                <w:rFonts w:hint="eastAsia"/>
              </w:rPr>
            </w:pPr>
            <w:r>
              <w:rPr>
                <w:rFonts w:hint="eastAsia"/>
              </w:rPr>
              <w:t> </w:t>
            </w:r>
          </w:p>
        </w:tc>
        <w:tc>
          <w:tcPr>
            <w:tcW w:w="166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2210AD" w14:textId="77777777" w:rsidR="00C70EC5" w:rsidRDefault="00C70EC5">
            <w:pPr>
              <w:pStyle w:val="Style25"/>
              <w:spacing w:before="19"/>
              <w:rPr>
                <w:rFonts w:hint="eastAsia"/>
              </w:rPr>
            </w:pPr>
            <w:r>
              <w:rPr>
                <w:rFonts w:hint="eastAsia"/>
              </w:rPr>
              <w:t> </w:t>
            </w:r>
          </w:p>
        </w:tc>
        <w:tc>
          <w:tcPr>
            <w:tcW w:w="191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E69962" w14:textId="77777777" w:rsidR="00C70EC5" w:rsidRDefault="00C70EC5">
            <w:pPr>
              <w:pStyle w:val="Style25"/>
              <w:spacing w:before="19"/>
              <w:rPr>
                <w:rFonts w:hint="eastAsia"/>
              </w:rPr>
            </w:pPr>
            <w:r>
              <w:rPr>
                <w:rFonts w:hint="eastAsia"/>
              </w:rPr>
              <w:t> </w:t>
            </w:r>
          </w:p>
        </w:tc>
        <w:tc>
          <w:tcPr>
            <w:tcW w:w="16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972AF4" w14:textId="77777777" w:rsidR="00C70EC5" w:rsidRDefault="00C70EC5">
            <w:pPr>
              <w:pStyle w:val="Style25"/>
              <w:spacing w:before="19"/>
              <w:rPr>
                <w:rFonts w:hint="eastAsia"/>
              </w:rPr>
            </w:pPr>
            <w:r>
              <w:rPr>
                <w:rFonts w:hint="eastAsia"/>
              </w:rPr>
              <w:t> </w:t>
            </w:r>
          </w:p>
        </w:tc>
      </w:tr>
      <w:tr w:rsidR="00000000" w14:paraId="281F0A62" w14:textId="77777777">
        <w:trPr>
          <w:jc w:val="center"/>
        </w:trPr>
        <w:tc>
          <w:tcPr>
            <w:tcW w:w="1545" w:type="dxa"/>
            <w:vAlign w:val="center"/>
            <w:hideMark/>
          </w:tcPr>
          <w:p w14:paraId="0932F457" w14:textId="77777777" w:rsidR="00C70EC5" w:rsidRDefault="00C70EC5">
            <w:pPr>
              <w:rPr>
                <w:rFonts w:hint="eastAsia"/>
              </w:rPr>
            </w:pPr>
          </w:p>
        </w:tc>
        <w:tc>
          <w:tcPr>
            <w:tcW w:w="1395" w:type="dxa"/>
            <w:vAlign w:val="center"/>
            <w:hideMark/>
          </w:tcPr>
          <w:p w14:paraId="02D46DAC" w14:textId="77777777" w:rsidR="00C70EC5" w:rsidRDefault="00C70EC5">
            <w:pPr>
              <w:spacing w:after="0" w:line="276" w:lineRule="auto"/>
              <w:ind w:firstLine="0"/>
              <w:jc w:val="left"/>
              <w:rPr>
                <w:rFonts w:eastAsia="Times New Roman"/>
                <w:sz w:val="20"/>
                <w:szCs w:val="20"/>
              </w:rPr>
            </w:pPr>
          </w:p>
        </w:tc>
        <w:tc>
          <w:tcPr>
            <w:tcW w:w="1095" w:type="dxa"/>
            <w:vAlign w:val="center"/>
            <w:hideMark/>
          </w:tcPr>
          <w:p w14:paraId="2A801E93" w14:textId="77777777" w:rsidR="00C70EC5" w:rsidRDefault="00C70EC5">
            <w:pPr>
              <w:spacing w:after="0" w:line="276" w:lineRule="auto"/>
              <w:ind w:firstLine="0"/>
              <w:jc w:val="left"/>
              <w:rPr>
                <w:rFonts w:eastAsia="Times New Roman"/>
                <w:sz w:val="20"/>
                <w:szCs w:val="20"/>
              </w:rPr>
            </w:pPr>
          </w:p>
        </w:tc>
        <w:tc>
          <w:tcPr>
            <w:tcW w:w="1290" w:type="dxa"/>
            <w:vAlign w:val="center"/>
            <w:hideMark/>
          </w:tcPr>
          <w:p w14:paraId="1021C500" w14:textId="77777777" w:rsidR="00C70EC5" w:rsidRDefault="00C70EC5">
            <w:pPr>
              <w:spacing w:after="0" w:line="276" w:lineRule="auto"/>
              <w:ind w:firstLine="0"/>
              <w:jc w:val="left"/>
              <w:rPr>
                <w:rFonts w:eastAsia="Times New Roman"/>
                <w:sz w:val="20"/>
                <w:szCs w:val="20"/>
              </w:rPr>
            </w:pPr>
          </w:p>
        </w:tc>
        <w:tc>
          <w:tcPr>
            <w:tcW w:w="1095" w:type="dxa"/>
            <w:vAlign w:val="center"/>
            <w:hideMark/>
          </w:tcPr>
          <w:p w14:paraId="7A8F4213" w14:textId="77777777" w:rsidR="00C70EC5" w:rsidRDefault="00C70EC5">
            <w:pPr>
              <w:spacing w:after="0" w:line="276" w:lineRule="auto"/>
              <w:ind w:firstLine="0"/>
              <w:jc w:val="left"/>
              <w:rPr>
                <w:rFonts w:eastAsia="Times New Roman"/>
                <w:sz w:val="20"/>
                <w:szCs w:val="20"/>
              </w:rPr>
            </w:pPr>
          </w:p>
        </w:tc>
        <w:tc>
          <w:tcPr>
            <w:tcW w:w="1665" w:type="dxa"/>
            <w:vAlign w:val="center"/>
            <w:hideMark/>
          </w:tcPr>
          <w:p w14:paraId="64E6D221" w14:textId="77777777" w:rsidR="00C70EC5" w:rsidRDefault="00C70EC5">
            <w:pPr>
              <w:spacing w:after="0" w:line="276" w:lineRule="auto"/>
              <w:ind w:firstLine="0"/>
              <w:jc w:val="left"/>
              <w:rPr>
                <w:rFonts w:eastAsia="Times New Roman"/>
                <w:sz w:val="20"/>
                <w:szCs w:val="20"/>
              </w:rPr>
            </w:pPr>
          </w:p>
        </w:tc>
        <w:tc>
          <w:tcPr>
            <w:tcW w:w="690" w:type="dxa"/>
            <w:vAlign w:val="center"/>
            <w:hideMark/>
          </w:tcPr>
          <w:p w14:paraId="06182651" w14:textId="77777777" w:rsidR="00C70EC5" w:rsidRDefault="00C70EC5">
            <w:pPr>
              <w:spacing w:after="0" w:line="276" w:lineRule="auto"/>
              <w:ind w:firstLine="0"/>
              <w:jc w:val="left"/>
              <w:rPr>
                <w:rFonts w:eastAsia="Times New Roman"/>
                <w:sz w:val="20"/>
                <w:szCs w:val="20"/>
              </w:rPr>
            </w:pPr>
          </w:p>
        </w:tc>
        <w:tc>
          <w:tcPr>
            <w:tcW w:w="585" w:type="dxa"/>
            <w:vAlign w:val="center"/>
            <w:hideMark/>
          </w:tcPr>
          <w:p w14:paraId="67829B3C" w14:textId="77777777" w:rsidR="00C70EC5" w:rsidRDefault="00C70EC5">
            <w:pPr>
              <w:spacing w:after="0" w:line="276" w:lineRule="auto"/>
              <w:ind w:firstLine="0"/>
              <w:jc w:val="left"/>
              <w:rPr>
                <w:rFonts w:eastAsia="Times New Roman"/>
                <w:sz w:val="20"/>
                <w:szCs w:val="20"/>
              </w:rPr>
            </w:pPr>
          </w:p>
        </w:tc>
        <w:tc>
          <w:tcPr>
            <w:tcW w:w="750" w:type="dxa"/>
            <w:vAlign w:val="center"/>
            <w:hideMark/>
          </w:tcPr>
          <w:p w14:paraId="188A3447" w14:textId="77777777" w:rsidR="00C70EC5" w:rsidRDefault="00C70EC5">
            <w:pPr>
              <w:spacing w:after="0" w:line="276" w:lineRule="auto"/>
              <w:ind w:firstLine="0"/>
              <w:jc w:val="left"/>
              <w:rPr>
                <w:rFonts w:eastAsia="Times New Roman"/>
                <w:sz w:val="20"/>
                <w:szCs w:val="20"/>
              </w:rPr>
            </w:pPr>
          </w:p>
        </w:tc>
        <w:tc>
          <w:tcPr>
            <w:tcW w:w="615" w:type="dxa"/>
            <w:vAlign w:val="center"/>
            <w:hideMark/>
          </w:tcPr>
          <w:p w14:paraId="0904355A" w14:textId="77777777" w:rsidR="00C70EC5" w:rsidRDefault="00C70EC5">
            <w:pPr>
              <w:spacing w:after="0" w:line="276" w:lineRule="auto"/>
              <w:ind w:firstLine="0"/>
              <w:jc w:val="left"/>
              <w:rPr>
                <w:rFonts w:eastAsia="Times New Roman"/>
                <w:sz w:val="20"/>
                <w:szCs w:val="20"/>
              </w:rPr>
            </w:pPr>
          </w:p>
        </w:tc>
        <w:tc>
          <w:tcPr>
            <w:tcW w:w="1515" w:type="dxa"/>
            <w:vAlign w:val="center"/>
            <w:hideMark/>
          </w:tcPr>
          <w:p w14:paraId="017F81F6" w14:textId="77777777" w:rsidR="00C70EC5" w:rsidRDefault="00C70EC5">
            <w:pPr>
              <w:spacing w:after="0" w:line="276" w:lineRule="auto"/>
              <w:ind w:firstLine="0"/>
              <w:jc w:val="left"/>
              <w:rPr>
                <w:rFonts w:eastAsia="Times New Roman"/>
                <w:sz w:val="20"/>
                <w:szCs w:val="20"/>
              </w:rPr>
            </w:pPr>
          </w:p>
        </w:tc>
        <w:tc>
          <w:tcPr>
            <w:tcW w:w="1455" w:type="dxa"/>
            <w:vAlign w:val="center"/>
            <w:hideMark/>
          </w:tcPr>
          <w:p w14:paraId="13A959B1" w14:textId="77777777" w:rsidR="00C70EC5" w:rsidRDefault="00C70EC5">
            <w:pPr>
              <w:spacing w:after="0" w:line="276" w:lineRule="auto"/>
              <w:ind w:firstLine="0"/>
              <w:jc w:val="left"/>
              <w:rPr>
                <w:rFonts w:eastAsia="Times New Roman"/>
                <w:sz w:val="20"/>
                <w:szCs w:val="20"/>
              </w:rPr>
            </w:pPr>
          </w:p>
        </w:tc>
        <w:tc>
          <w:tcPr>
            <w:tcW w:w="2085" w:type="dxa"/>
            <w:vAlign w:val="center"/>
            <w:hideMark/>
          </w:tcPr>
          <w:p w14:paraId="62E28BEE" w14:textId="77777777" w:rsidR="00C70EC5" w:rsidRDefault="00C70EC5">
            <w:pPr>
              <w:spacing w:after="0" w:line="276" w:lineRule="auto"/>
              <w:ind w:firstLine="0"/>
              <w:jc w:val="left"/>
              <w:rPr>
                <w:rFonts w:eastAsia="Times New Roman"/>
                <w:sz w:val="20"/>
                <w:szCs w:val="20"/>
              </w:rPr>
            </w:pPr>
          </w:p>
        </w:tc>
      </w:tr>
    </w:tbl>
    <w:p w14:paraId="49DE1663" w14:textId="77777777" w:rsidR="00C70EC5" w:rsidRDefault="00C70EC5">
      <w:pPr>
        <w:pStyle w:val="Style25"/>
        <w:spacing w:before="19"/>
        <w:jc w:val="left"/>
      </w:pPr>
      <w:r>
        <w:rPr>
          <w:rFonts w:hint="eastAsia"/>
        </w:rPr>
        <w:t> </w:t>
      </w:r>
    </w:p>
    <w:p w14:paraId="680DA410" w14:textId="77777777" w:rsidR="00C70EC5" w:rsidRDefault="00C70EC5">
      <w:pPr>
        <w:pStyle w:val="Style25"/>
        <w:spacing w:before="19"/>
        <w:jc w:val="left"/>
        <w:rPr>
          <w:rFonts w:hint="eastAsia"/>
        </w:rPr>
      </w:pPr>
      <w:r>
        <w:rPr>
          <w:rStyle w:val="FontStyle40"/>
          <w:rFonts w:ascii="Arial" w:hAnsi="Arial" w:cs="Arial"/>
          <w:b w:val="0"/>
          <w:bCs w:val="0"/>
          <w:sz w:val="20"/>
          <w:szCs w:val="20"/>
        </w:rPr>
        <w:t xml:space="preserve">*Данные </w:t>
      </w:r>
      <w:r>
        <w:rPr>
          <w:rStyle w:val="FontStyle40"/>
          <w:rFonts w:ascii="Arial" w:hAnsi="Arial" w:cs="Arial"/>
          <w:b w:val="0"/>
          <w:bCs w:val="0"/>
          <w:sz w:val="20"/>
          <w:szCs w:val="20"/>
        </w:rPr>
        <w:t>должны быть представлены на альбомном листе формата А4.</w:t>
      </w:r>
    </w:p>
    <w:p w14:paraId="6E5BDA51" w14:textId="77777777" w:rsidR="00C70EC5" w:rsidRDefault="00C70EC5">
      <w:pPr>
        <w:pStyle w:val="Style25"/>
        <w:spacing w:before="19"/>
        <w:jc w:val="left"/>
        <w:rPr>
          <w:rFonts w:hint="eastAsia"/>
        </w:rPr>
      </w:pPr>
      <w:r>
        <w:rPr>
          <w:rFonts w:hint="eastAsia"/>
        </w:rPr>
        <w:t> </w:t>
      </w:r>
    </w:p>
    <w:p w14:paraId="54D353D4" w14:textId="77777777" w:rsidR="00C70EC5" w:rsidRDefault="00C70EC5">
      <w:pPr>
        <w:pStyle w:val="Style25"/>
        <w:spacing w:before="19" w:line="276" w:lineRule="auto"/>
        <w:jc w:val="left"/>
        <w:rPr>
          <w:rFonts w:hint="eastAsia"/>
        </w:rPr>
      </w:pPr>
      <w:r>
        <w:rPr>
          <w:rFonts w:hint="eastAsia"/>
        </w:rPr>
        <w:t> </w:t>
      </w:r>
    </w:p>
    <w:p w14:paraId="4A43D657" w14:textId="77777777" w:rsidR="00C70EC5" w:rsidRDefault="00C70EC5">
      <w:pPr>
        <w:pStyle w:val="Style25"/>
        <w:spacing w:before="19" w:line="276" w:lineRule="auto"/>
        <w:jc w:val="left"/>
        <w:rPr>
          <w:rFonts w:hint="eastAsia"/>
        </w:rPr>
      </w:pPr>
      <w:r>
        <w:rPr>
          <w:rStyle w:val="FontStyle40"/>
          <w:rFonts w:ascii="Arial" w:hAnsi="Arial" w:cs="Arial"/>
          <w:b w:val="0"/>
          <w:bCs w:val="0"/>
          <w:sz w:val="20"/>
          <w:szCs w:val="20"/>
        </w:rPr>
        <w:t>Исполнитель ______________________________________________________________________________</w:t>
      </w:r>
    </w:p>
    <w:p w14:paraId="278297C8" w14:textId="77777777" w:rsidR="00C70EC5" w:rsidRDefault="00C70EC5">
      <w:pPr>
        <w:pStyle w:val="Style25"/>
        <w:spacing w:before="19"/>
        <w:ind w:left="1440" w:firstLine="720"/>
        <w:jc w:val="left"/>
        <w:rPr>
          <w:rFonts w:hint="eastAsia"/>
        </w:rPr>
      </w:pPr>
      <w:r>
        <w:rPr>
          <w:rStyle w:val="FontStyle40"/>
          <w:rFonts w:ascii="Arial" w:hAnsi="Arial" w:cs="Arial"/>
          <w:b w:val="0"/>
          <w:bCs w:val="0"/>
          <w:sz w:val="20"/>
          <w:szCs w:val="20"/>
        </w:rPr>
        <w:t xml:space="preserve">указать Ф.И.О. ответственного за подготовку Сведений, должность, отдел/управление, </w:t>
      </w:r>
    </w:p>
    <w:p w14:paraId="580594C5" w14:textId="77777777" w:rsidR="00C70EC5" w:rsidRDefault="00C70EC5">
      <w:pPr>
        <w:pStyle w:val="Style25"/>
        <w:spacing w:before="19"/>
        <w:ind w:left="1440" w:firstLine="720"/>
        <w:jc w:val="left"/>
        <w:rPr>
          <w:rFonts w:hint="eastAsia"/>
        </w:rPr>
      </w:pPr>
      <w:r>
        <w:rPr>
          <w:rStyle w:val="FontStyle40"/>
          <w:rFonts w:ascii="Arial" w:hAnsi="Arial" w:cs="Arial"/>
          <w:b w:val="0"/>
          <w:bCs w:val="0"/>
          <w:sz w:val="20"/>
          <w:szCs w:val="20"/>
        </w:rPr>
        <w:t>подпись</w:t>
      </w:r>
    </w:p>
    <w:p w14:paraId="69291D7C" w14:textId="77777777" w:rsidR="00C70EC5" w:rsidRDefault="00C70EC5">
      <w:pPr>
        <w:pStyle w:val="Style25"/>
        <w:spacing w:before="19" w:line="276" w:lineRule="auto"/>
        <w:jc w:val="left"/>
        <w:rPr>
          <w:rFonts w:hint="eastAsia"/>
        </w:rPr>
      </w:pPr>
      <w:r>
        <w:rPr>
          <w:rFonts w:hint="eastAsia"/>
        </w:rPr>
        <w:t> </w:t>
      </w:r>
    </w:p>
    <w:p w14:paraId="695D08AB" w14:textId="77777777" w:rsidR="00C70EC5" w:rsidRDefault="00C70EC5">
      <w:pPr>
        <w:pStyle w:val="Style25"/>
        <w:spacing w:before="19" w:line="276" w:lineRule="auto"/>
        <w:jc w:val="left"/>
        <w:rPr>
          <w:rFonts w:hint="eastAsia"/>
        </w:rPr>
      </w:pPr>
      <w:r>
        <w:rPr>
          <w:rStyle w:val="FontStyle40"/>
          <w:rFonts w:ascii="Arial" w:hAnsi="Arial" w:cs="Arial"/>
          <w:b w:val="0"/>
          <w:bCs w:val="0"/>
          <w:sz w:val="20"/>
          <w:szCs w:val="20"/>
        </w:rPr>
        <w:t>Начальник управления _____________________________________________________________________</w:t>
      </w:r>
    </w:p>
    <w:p w14:paraId="3122742B" w14:textId="77777777" w:rsidR="00C70EC5" w:rsidRDefault="00C70EC5">
      <w:pPr>
        <w:pStyle w:val="Style25"/>
        <w:spacing w:before="19"/>
        <w:ind w:left="2160" w:firstLine="720"/>
        <w:jc w:val="left"/>
        <w:rPr>
          <w:rFonts w:hint="eastAsia"/>
        </w:rPr>
      </w:pPr>
      <w:r>
        <w:rPr>
          <w:rStyle w:val="FontStyle40"/>
          <w:rFonts w:ascii="Arial" w:hAnsi="Arial" w:cs="Arial"/>
          <w:b w:val="0"/>
          <w:bCs w:val="0"/>
          <w:sz w:val="20"/>
          <w:szCs w:val="20"/>
        </w:rPr>
        <w:t xml:space="preserve">указать Ф.И.О. начальник управления, ответственного за подготовку </w:t>
      </w:r>
    </w:p>
    <w:p w14:paraId="11CF6C9E" w14:textId="77777777" w:rsidR="00C70EC5" w:rsidRDefault="00C70EC5">
      <w:pPr>
        <w:pStyle w:val="Style25"/>
        <w:spacing w:before="19"/>
        <w:ind w:left="2160" w:firstLine="720"/>
        <w:jc w:val="left"/>
        <w:rPr>
          <w:rFonts w:hint="eastAsia"/>
        </w:rPr>
      </w:pPr>
      <w:r>
        <w:rPr>
          <w:rStyle w:val="FontStyle40"/>
          <w:rFonts w:ascii="Arial" w:hAnsi="Arial" w:cs="Arial"/>
          <w:b w:val="0"/>
          <w:bCs w:val="0"/>
          <w:sz w:val="20"/>
          <w:szCs w:val="20"/>
        </w:rPr>
        <w:t>сведений, подпись</w:t>
      </w:r>
    </w:p>
    <w:p w14:paraId="5D869874" w14:textId="77777777" w:rsidR="00C70EC5" w:rsidRDefault="00C70EC5">
      <w:pPr>
        <w:pStyle w:val="Style25"/>
        <w:spacing w:before="19" w:line="276" w:lineRule="auto"/>
        <w:jc w:val="left"/>
        <w:rPr>
          <w:rFonts w:hint="eastAsia"/>
        </w:rPr>
      </w:pPr>
      <w:r>
        <w:rPr>
          <w:rFonts w:hint="eastAsia"/>
        </w:rPr>
        <w:t> </w:t>
      </w:r>
    </w:p>
    <w:p w14:paraId="0F9376AE" w14:textId="77777777" w:rsidR="00C70EC5" w:rsidRDefault="00C70EC5">
      <w:pPr>
        <w:pStyle w:val="Style25"/>
        <w:spacing w:before="19" w:line="276" w:lineRule="auto"/>
        <w:jc w:val="left"/>
        <w:rPr>
          <w:rFonts w:hint="eastAsia"/>
        </w:rPr>
      </w:pPr>
      <w:r>
        <w:rPr>
          <w:rStyle w:val="FontStyle40"/>
          <w:rFonts w:ascii="Arial" w:hAnsi="Arial" w:cs="Arial"/>
          <w:b w:val="0"/>
          <w:bCs w:val="0"/>
          <w:sz w:val="20"/>
          <w:szCs w:val="20"/>
        </w:rPr>
        <w:t>Заместитель Председателя ___________________________________________________________________</w:t>
      </w:r>
    </w:p>
    <w:p w14:paraId="273CB134" w14:textId="77777777" w:rsidR="00C70EC5" w:rsidRDefault="00C70EC5">
      <w:pPr>
        <w:pStyle w:val="Style25"/>
        <w:spacing w:before="19" w:line="276" w:lineRule="auto"/>
        <w:ind w:left="2880" w:firstLine="720"/>
        <w:jc w:val="left"/>
        <w:rPr>
          <w:rFonts w:hint="eastAsia"/>
        </w:rPr>
      </w:pPr>
      <w:r>
        <w:rPr>
          <w:rStyle w:val="FontStyle40"/>
          <w:rFonts w:ascii="Arial" w:hAnsi="Arial" w:cs="Arial"/>
          <w:b w:val="0"/>
          <w:bCs w:val="0"/>
          <w:sz w:val="20"/>
          <w:szCs w:val="20"/>
        </w:rPr>
        <w:t>указать Ф.И.О. лица, курирующего данный блок, подпись</w:t>
      </w:r>
    </w:p>
    <w:p w14:paraId="5E66D003" w14:textId="77777777" w:rsidR="00C70EC5" w:rsidRDefault="00C70EC5">
      <w:pPr>
        <w:pStyle w:val="Style25"/>
        <w:spacing w:before="19" w:line="276" w:lineRule="auto"/>
        <w:jc w:val="left"/>
        <w:rPr>
          <w:rFonts w:hint="eastAsia"/>
        </w:rPr>
      </w:pPr>
      <w:r>
        <w:rPr>
          <w:rFonts w:hint="eastAsia"/>
        </w:rPr>
        <w:t> </w:t>
      </w:r>
    </w:p>
    <w:p w14:paraId="2946DECE" w14:textId="77777777" w:rsidR="00C70EC5" w:rsidRDefault="00C70EC5">
      <w:pPr>
        <w:pStyle w:val="Style25"/>
        <w:spacing w:before="19"/>
        <w:jc w:val="left"/>
        <w:rPr>
          <w:rFonts w:hint="eastAsia"/>
        </w:rPr>
      </w:pPr>
      <w:r>
        <w:rPr>
          <w:rFonts w:hint="eastAsia"/>
        </w:rPr>
        <w:t> </w:t>
      </w:r>
    </w:p>
    <w:p w14:paraId="1EDE44E7" w14:textId="77777777" w:rsidR="00C70EC5" w:rsidRDefault="00C70EC5">
      <w:pPr>
        <w:rPr>
          <w:rFonts w:hint="eastAsia"/>
        </w:rPr>
      </w:pPr>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CC"/>
    <w:family w:val="swiss"/>
    <w:pitch w:val="variable"/>
    <w:sig w:usb0="A00002EF" w:usb1="4000A44B" w:usb2="00000000" w:usb3="00000000" w:csb0="0000019F" w:csb1="00000000"/>
  </w:font>
  <w:font w:name="1.1.">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70EC5"/>
    <w:rsid w:val="00C70E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CBF5A"/>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Style2">
    <w:name w:val="Style2"/>
    <w:basedOn w:val="a"/>
    <w:pPr>
      <w:autoSpaceDE w:val="0"/>
      <w:autoSpaceDN w:val="0"/>
      <w:spacing w:after="0" w:line="334" w:lineRule="atLeast"/>
      <w:ind w:firstLine="0"/>
      <w:jc w:val="center"/>
    </w:pPr>
    <w:rPr>
      <w:rFonts w:ascii="MS Gothic" w:eastAsia="MS Gothic" w:hAnsi="MS Gothic" w:cs="Times New Roman"/>
    </w:rPr>
  </w:style>
  <w:style w:type="paragraph" w:customStyle="1" w:styleId="Style4">
    <w:name w:val="Style4"/>
    <w:basedOn w:val="a"/>
    <w:pPr>
      <w:autoSpaceDE w:val="0"/>
      <w:autoSpaceDN w:val="0"/>
      <w:spacing w:after="0"/>
      <w:ind w:firstLine="0"/>
      <w:jc w:val="left"/>
    </w:pPr>
    <w:rPr>
      <w:rFonts w:ascii="MS Gothic" w:eastAsia="MS Gothic" w:hAnsi="MS Gothic" w:cs="Times New Roman"/>
    </w:rPr>
  </w:style>
  <w:style w:type="paragraph" w:customStyle="1" w:styleId="Style6">
    <w:name w:val="Style6"/>
    <w:basedOn w:val="a"/>
    <w:pPr>
      <w:autoSpaceDE w:val="0"/>
      <w:autoSpaceDN w:val="0"/>
      <w:spacing w:after="0" w:line="276" w:lineRule="atLeast"/>
      <w:ind w:firstLine="706"/>
    </w:pPr>
    <w:rPr>
      <w:rFonts w:ascii="MS Gothic" w:eastAsia="MS Gothic" w:hAnsi="MS Gothic" w:cs="Times New Roman"/>
    </w:rPr>
  </w:style>
  <w:style w:type="paragraph" w:customStyle="1" w:styleId="Style7">
    <w:name w:val="Style7"/>
    <w:basedOn w:val="a"/>
    <w:pPr>
      <w:autoSpaceDE w:val="0"/>
      <w:autoSpaceDN w:val="0"/>
      <w:spacing w:after="0" w:line="277" w:lineRule="atLeast"/>
      <w:ind w:firstLine="710"/>
    </w:pPr>
    <w:rPr>
      <w:rFonts w:ascii="MS Gothic" w:eastAsia="MS Gothic" w:hAnsi="MS Gothic" w:cs="Times New Roman"/>
    </w:rPr>
  </w:style>
  <w:style w:type="paragraph" w:customStyle="1" w:styleId="Style11">
    <w:name w:val="Style11"/>
    <w:basedOn w:val="a"/>
    <w:pPr>
      <w:autoSpaceDE w:val="0"/>
      <w:autoSpaceDN w:val="0"/>
      <w:spacing w:after="0"/>
      <w:ind w:firstLine="0"/>
      <w:jc w:val="left"/>
    </w:pPr>
    <w:rPr>
      <w:rFonts w:ascii="MS Gothic" w:eastAsia="MS Gothic" w:hAnsi="MS Gothic" w:cs="Times New Roman"/>
    </w:rPr>
  </w:style>
  <w:style w:type="paragraph" w:customStyle="1" w:styleId="Style14">
    <w:name w:val="Style14"/>
    <w:basedOn w:val="a"/>
    <w:pPr>
      <w:autoSpaceDE w:val="0"/>
      <w:autoSpaceDN w:val="0"/>
      <w:spacing w:after="0" w:line="275" w:lineRule="atLeast"/>
      <w:ind w:firstLine="566"/>
      <w:jc w:val="left"/>
    </w:pPr>
    <w:rPr>
      <w:rFonts w:ascii="MS Gothic" w:eastAsia="MS Gothic" w:hAnsi="MS Gothic" w:cs="Times New Roman"/>
    </w:rPr>
  </w:style>
  <w:style w:type="paragraph" w:customStyle="1" w:styleId="Style18">
    <w:name w:val="Style18"/>
    <w:basedOn w:val="a"/>
    <w:pPr>
      <w:autoSpaceDE w:val="0"/>
      <w:autoSpaceDN w:val="0"/>
      <w:spacing w:after="0"/>
      <w:ind w:firstLine="0"/>
      <w:jc w:val="left"/>
    </w:pPr>
    <w:rPr>
      <w:rFonts w:ascii="MS Gothic" w:eastAsia="MS Gothic" w:hAnsi="MS Gothic" w:cs="Times New Roman"/>
    </w:rPr>
  </w:style>
  <w:style w:type="paragraph" w:customStyle="1" w:styleId="Style19">
    <w:name w:val="Style19"/>
    <w:basedOn w:val="a"/>
    <w:pPr>
      <w:autoSpaceDE w:val="0"/>
      <w:autoSpaceDN w:val="0"/>
      <w:spacing w:after="0"/>
      <w:ind w:firstLine="0"/>
      <w:jc w:val="left"/>
    </w:pPr>
    <w:rPr>
      <w:rFonts w:ascii="MS Gothic" w:eastAsia="MS Gothic" w:hAnsi="MS Gothic" w:cs="Times New Roman"/>
    </w:rPr>
  </w:style>
  <w:style w:type="paragraph" w:customStyle="1" w:styleId="Style21">
    <w:name w:val="Style21"/>
    <w:basedOn w:val="a"/>
    <w:pPr>
      <w:autoSpaceDE w:val="0"/>
      <w:autoSpaceDN w:val="0"/>
      <w:spacing w:after="0"/>
      <w:ind w:firstLine="0"/>
      <w:jc w:val="left"/>
    </w:pPr>
    <w:rPr>
      <w:rFonts w:ascii="MS Gothic" w:eastAsia="MS Gothic" w:hAnsi="MS Gothic" w:cs="Times New Roman"/>
    </w:rPr>
  </w:style>
  <w:style w:type="paragraph" w:customStyle="1" w:styleId="Style25">
    <w:name w:val="Style25"/>
    <w:basedOn w:val="a"/>
    <w:pPr>
      <w:autoSpaceDE w:val="0"/>
      <w:autoSpaceDN w:val="0"/>
      <w:spacing w:after="0"/>
      <w:ind w:firstLine="0"/>
      <w:jc w:val="center"/>
    </w:pPr>
    <w:rPr>
      <w:rFonts w:ascii="MS Gothic" w:eastAsia="MS Gothic" w:hAnsi="MS Gothic" w:cs="Times New Roman"/>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 w:type="character" w:customStyle="1" w:styleId="FontStyle29">
    <w:name w:val="Font Style29"/>
    <w:basedOn w:val="a0"/>
    <w:rPr>
      <w:rFonts w:ascii="Times New Roman" w:hAnsi="Times New Roman" w:cs="Times New Roman" w:hint="default"/>
    </w:rPr>
  </w:style>
  <w:style w:type="character" w:customStyle="1" w:styleId="FontStyle35">
    <w:name w:val="Font Style35"/>
    <w:basedOn w:val="a0"/>
    <w:rPr>
      <w:rFonts w:ascii="Candara" w:hAnsi="Candara" w:hint="default"/>
      <w:b/>
      <w:bCs/>
    </w:rPr>
  </w:style>
  <w:style w:type="character" w:customStyle="1" w:styleId="FontStyle36">
    <w:name w:val="Font Style36"/>
    <w:basedOn w:val="a0"/>
    <w:rPr>
      <w:rFonts w:ascii="Times New Roman" w:hAnsi="Times New Roman" w:cs="Times New Roman" w:hint="default"/>
      <w:spacing w:val="-20"/>
    </w:rPr>
  </w:style>
  <w:style w:type="character" w:customStyle="1" w:styleId="FontStyle37">
    <w:name w:val="Font Style37"/>
    <w:basedOn w:val="a0"/>
    <w:rPr>
      <w:rFonts w:ascii="Times New Roman" w:hAnsi="Times New Roman" w:cs="Times New Roman" w:hint="default"/>
    </w:rPr>
  </w:style>
  <w:style w:type="character" w:customStyle="1" w:styleId="FontStyle38">
    <w:name w:val="Font Style38"/>
    <w:basedOn w:val="a0"/>
    <w:rPr>
      <w:rFonts w:ascii="Times New Roman" w:hAnsi="Times New Roman" w:cs="Times New Roman" w:hint="default"/>
      <w:b/>
      <w:bCs/>
    </w:rPr>
  </w:style>
  <w:style w:type="character" w:customStyle="1" w:styleId="FontStyle40">
    <w:name w:val="Font Style40"/>
    <w:basedOn w:val="a0"/>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301181" TargetMode="External"/><Relationship Id="rId13" Type="http://schemas.openxmlformats.org/officeDocument/2006/relationships/hyperlink" Target="https://cbd.minjust.gov.kg/301180" TargetMode="External"/><Relationship Id="rId3" Type="http://schemas.openxmlformats.org/officeDocument/2006/relationships/webSettings" Target="webSettings.xml"/><Relationship Id="rId7" Type="http://schemas.openxmlformats.org/officeDocument/2006/relationships/hyperlink" Target="https://cbd.minjust.gov.kg/301180" TargetMode="External"/><Relationship Id="rId12" Type="http://schemas.openxmlformats.org/officeDocument/2006/relationships/hyperlink" Target="https://cbd.minjust.gov.kg/30118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d.minjust.gov.kg/800215" TargetMode="External"/><Relationship Id="rId11" Type="http://schemas.openxmlformats.org/officeDocument/2006/relationships/hyperlink" Target="https://cbd.minjust.gov.kg/301181" TargetMode="External"/><Relationship Id="rId5" Type="http://schemas.openxmlformats.org/officeDocument/2006/relationships/hyperlink" Target="https://cbd.minjust.gov.kg/111486" TargetMode="External"/><Relationship Id="rId15" Type="http://schemas.openxmlformats.org/officeDocument/2006/relationships/theme" Target="theme/theme1.xml"/><Relationship Id="rId10" Type="http://schemas.openxmlformats.org/officeDocument/2006/relationships/hyperlink" Target="https://cbd.minjust.gov.kg/301180" TargetMode="External"/><Relationship Id="rId4" Type="http://schemas.openxmlformats.org/officeDocument/2006/relationships/image" Target="media/image1.jpg"/><Relationship Id="rId9" Type="http://schemas.openxmlformats.org/officeDocument/2006/relationships/hyperlink" Target="https://cbd.minjust.gov.kg/80021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1983</Words>
  <Characters>11308</Characters>
  <Application>Microsoft Office Word</Application>
  <DocSecurity>0</DocSecurity>
  <Lines>94</Lines>
  <Paragraphs>26</Paragraphs>
  <ScaleCrop>false</ScaleCrop>
  <Company/>
  <LinksUpToDate>false</LinksUpToDate>
  <CharactersWithSpaces>13265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2023-12-15T21:34:00Z</dcterms:created>
  <dcterms:modified xsi:type="dcterms:W3CDTF">2023-12-15T21:34:00Z</dcterms:modified>
</cp:coreProperties>
</file>